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10493" w14:textId="4204318E" w:rsidR="00DD64D2" w:rsidRDefault="00DD64D2">
      <w:hyperlink r:id="rId4" w:history="1">
        <w:r>
          <w:rPr>
            <w:rStyle w:val="Collegamentoipertestuale"/>
          </w:rPr>
          <w:t>ANAC | Home page - www.anticorruzione.it</w:t>
        </w:r>
      </w:hyperlink>
    </w:p>
    <w:sectPr w:rsidR="00DD64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4D2"/>
    <w:rsid w:val="00DD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9382C"/>
  <w15:chartTrackingRefBased/>
  <w15:docId w15:val="{14DFB1E3-D12D-4A0B-B17F-D2265DB33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D64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nticorruzione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Collegio Geometri PIACENZA</dc:creator>
  <cp:keywords/>
  <dc:description/>
  <cp:lastModifiedBy>Collegio Geometri PIACENZA</cp:lastModifiedBy>
  <cp:revision>1</cp:revision>
  <dcterms:created xsi:type="dcterms:W3CDTF">2023-10-17T09:04:00Z</dcterms:created>
  <dcterms:modified xsi:type="dcterms:W3CDTF">2023-10-17T09:05:00Z</dcterms:modified>
</cp:coreProperties>
</file>