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A307" w14:textId="3795B1B8" w:rsidR="0036542E" w:rsidRDefault="00DF4306">
      <w:r>
        <w:t xml:space="preserve">ART. 12, e 2, d.lgs. n. 33/2013 – Statuti e leggi regionali </w:t>
      </w:r>
    </w:p>
    <w:p w14:paraId="7DE3B0BF" w14:textId="27EFA5A6" w:rsidR="0036542E" w:rsidRDefault="00DF4306">
      <w:r>
        <w:t>Estremi e testi ufficiali degli Statu</w:t>
      </w:r>
      <w:r w:rsidR="0036542E">
        <w:t>t</w:t>
      </w:r>
      <w:r>
        <w:t>i e delle norme di legge regionali che regolano le funzioni, l’organizzazione e lo svolgimento delle attività di competenza dell’amministrazione</w:t>
      </w:r>
      <w:r w:rsidR="0036542E">
        <w:t xml:space="preserve"> non previsti.</w:t>
      </w:r>
    </w:p>
    <w:sectPr w:rsidR="003654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306"/>
    <w:rsid w:val="0036542E"/>
    <w:rsid w:val="00C9287B"/>
    <w:rsid w:val="00D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C099"/>
  <w15:chartTrackingRefBased/>
  <w15:docId w15:val="{D7D480C3-32B0-4748-A64A-4CE4DAC6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3</cp:revision>
  <dcterms:created xsi:type="dcterms:W3CDTF">2023-10-17T09:22:00Z</dcterms:created>
  <dcterms:modified xsi:type="dcterms:W3CDTF">2023-10-17T09:27:00Z</dcterms:modified>
</cp:coreProperties>
</file>