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C6111" w14:textId="24DAD403" w:rsidR="00764C40" w:rsidRPr="00D23B67" w:rsidRDefault="00764C40" w:rsidP="001E200A">
      <w:pPr>
        <w:spacing w:before="240" w:after="240" w:line="276" w:lineRule="auto"/>
        <w:jc w:val="center"/>
        <w:rPr>
          <w:rFonts w:ascii="Titillium" w:hAnsi="Titillium" w:cs="Times New Roman"/>
          <w:sz w:val="20"/>
          <w:szCs w:val="20"/>
        </w:rPr>
      </w:pPr>
    </w:p>
    <w:p w14:paraId="7A044397" w14:textId="45AB32BC" w:rsidR="00930972" w:rsidRPr="00D23B67" w:rsidRDefault="00930972" w:rsidP="001E200A">
      <w:pPr>
        <w:spacing w:before="240" w:after="240" w:line="276" w:lineRule="auto"/>
        <w:jc w:val="center"/>
        <w:rPr>
          <w:rFonts w:ascii="Titillium" w:hAnsi="Titillium" w:cs="Times New Roman"/>
          <w:sz w:val="18"/>
          <w:szCs w:val="18"/>
        </w:rPr>
      </w:pPr>
    </w:p>
    <w:p w14:paraId="59B48C3C" w14:textId="77777777" w:rsidR="004E3FEA" w:rsidRPr="00D23B67" w:rsidRDefault="00782E5B" w:rsidP="001E200A">
      <w:pPr>
        <w:spacing w:before="240" w:after="240" w:line="276" w:lineRule="auto"/>
        <w:jc w:val="center"/>
        <w:rPr>
          <w:rFonts w:ascii="Titillium" w:hAnsi="Titillium" w:cs="Times New Roman"/>
          <w:b/>
          <w:bCs/>
          <w:sz w:val="18"/>
          <w:szCs w:val="18"/>
        </w:rPr>
      </w:pPr>
      <w:r w:rsidRPr="00D23B67">
        <w:rPr>
          <w:rFonts w:ascii="Titillium" w:hAnsi="Titillium" w:cs="Times New Roman"/>
          <w:b/>
          <w:bCs/>
          <w:sz w:val="18"/>
          <w:szCs w:val="18"/>
        </w:rPr>
        <w:t xml:space="preserve">Documento di attestazione </w:t>
      </w:r>
    </w:p>
    <w:p w14:paraId="6EA654F5" w14:textId="1A576AD0" w:rsidR="00674A85" w:rsidRPr="00D23B67" w:rsidRDefault="00930972" w:rsidP="00181F65">
      <w:pPr>
        <w:pStyle w:val="Paragrafoelenco"/>
        <w:tabs>
          <w:tab w:val="left" w:pos="0"/>
          <w:tab w:val="left" w:pos="7587"/>
        </w:tabs>
        <w:spacing w:before="120" w:after="0" w:line="276" w:lineRule="auto"/>
        <w:ind w:left="567" w:firstLine="851"/>
        <w:rPr>
          <w:rFonts w:ascii="Titillium" w:hAnsi="Titillium" w:cs="Times New Roman"/>
          <w:color w:val="000000" w:themeColor="text1"/>
          <w:sz w:val="18"/>
          <w:szCs w:val="18"/>
        </w:rPr>
      </w:pPr>
      <w:r w:rsidRPr="00D23B67">
        <w:rPr>
          <w:rFonts w:ascii="Titillium" w:hAnsi="Titillium" w:cs="Times New Roman"/>
          <w:sz w:val="18"/>
          <w:szCs w:val="18"/>
        </w:rPr>
        <w:t xml:space="preserve"> Il sottoscritto Geom. </w:t>
      </w:r>
      <w:r w:rsidR="00B30EB9" w:rsidRPr="00D23B67">
        <w:rPr>
          <w:rFonts w:ascii="Titillium" w:hAnsi="Titillium" w:cs="Times New Roman"/>
          <w:sz w:val="18"/>
          <w:szCs w:val="18"/>
        </w:rPr>
        <w:t>Lisa Draghi</w:t>
      </w:r>
      <w:r w:rsidRPr="00D23B67">
        <w:rPr>
          <w:rFonts w:ascii="Titillium" w:hAnsi="Titillium" w:cs="Times New Roman"/>
          <w:sz w:val="18"/>
          <w:szCs w:val="18"/>
        </w:rPr>
        <w:t xml:space="preserve"> in </w:t>
      </w:r>
      <w:r w:rsidR="006C139D" w:rsidRPr="00D23B67">
        <w:rPr>
          <w:rFonts w:ascii="Titillium" w:hAnsi="Titillium" w:cs="Times New Roman"/>
          <w:sz w:val="18"/>
          <w:szCs w:val="18"/>
        </w:rPr>
        <w:t>qualità di Responsabile della Prevenzione della Corruzione e della Trasparenza</w:t>
      </w:r>
      <w:r w:rsidR="004D6CB7" w:rsidRPr="00D23B67">
        <w:rPr>
          <w:rFonts w:ascii="Titillium" w:hAnsi="Titillium" w:cs="Times New Roman"/>
          <w:sz w:val="18"/>
          <w:szCs w:val="18"/>
        </w:rPr>
        <w:t xml:space="preserve"> con funzioni analoghe all’OIV</w:t>
      </w:r>
      <w:r w:rsidRPr="00D23B67">
        <w:rPr>
          <w:rFonts w:ascii="Titillium" w:hAnsi="Titillium" w:cs="Times New Roman"/>
          <w:sz w:val="18"/>
          <w:szCs w:val="18"/>
        </w:rPr>
        <w:t xml:space="preserve"> </w:t>
      </w:r>
      <w:r w:rsidR="001E538C" w:rsidRPr="00D23B67">
        <w:rPr>
          <w:rFonts w:ascii="Titillium" w:hAnsi="Titillium" w:cs="Times New Roman"/>
          <w:sz w:val="18"/>
          <w:szCs w:val="18"/>
        </w:rPr>
        <w:t>presso</w:t>
      </w:r>
      <w:r w:rsidRPr="00D23B67">
        <w:rPr>
          <w:rFonts w:ascii="Titillium" w:hAnsi="Titillium" w:cs="Times New Roman"/>
          <w:sz w:val="18"/>
          <w:szCs w:val="18"/>
        </w:rPr>
        <w:t xml:space="preserve"> il Collegio Geometri e </w:t>
      </w:r>
      <w:r w:rsidR="004F78F6" w:rsidRPr="00D23B67">
        <w:rPr>
          <w:rFonts w:ascii="Titillium" w:hAnsi="Titillium" w:cs="Times New Roman"/>
          <w:sz w:val="18"/>
          <w:szCs w:val="18"/>
        </w:rPr>
        <w:t>G</w:t>
      </w:r>
      <w:r w:rsidRPr="00D23B67">
        <w:rPr>
          <w:rFonts w:ascii="Titillium" w:hAnsi="Titillium" w:cs="Times New Roman"/>
          <w:sz w:val="18"/>
          <w:szCs w:val="18"/>
        </w:rPr>
        <w:t>eometri Laureati della Provincia di Piacenza</w:t>
      </w:r>
      <w:r w:rsidR="00DA74D8" w:rsidRPr="00D23B67">
        <w:rPr>
          <w:rFonts w:ascii="Titillium" w:hAnsi="Titillium" w:cs="Times New Roman"/>
          <w:sz w:val="18"/>
          <w:szCs w:val="18"/>
        </w:rPr>
        <w:t xml:space="preserve"> </w:t>
      </w:r>
      <w:r w:rsidR="00782E5B" w:rsidRPr="00D23B67">
        <w:rPr>
          <w:rFonts w:ascii="Titillium" w:hAnsi="Titillium" w:cs="Times New Roman"/>
          <w:sz w:val="18"/>
          <w:szCs w:val="18"/>
        </w:rPr>
        <w:t>ha effettuato</w:t>
      </w:r>
      <w:r w:rsidR="00DA74D8" w:rsidRPr="00D23B67">
        <w:rPr>
          <w:rFonts w:ascii="Titillium" w:hAnsi="Titillium" w:cs="Times New Roman"/>
          <w:sz w:val="18"/>
          <w:szCs w:val="18"/>
        </w:rPr>
        <w:t>,</w:t>
      </w:r>
      <w:r w:rsidR="00782E5B" w:rsidRPr="00D23B67">
        <w:rPr>
          <w:rFonts w:ascii="Titillium" w:hAnsi="Titillium" w:cs="Times New Roman"/>
          <w:sz w:val="18"/>
          <w:szCs w:val="18"/>
        </w:rPr>
        <w:t xml:space="preserve"> </w:t>
      </w:r>
      <w:r w:rsidR="00DA74D8" w:rsidRPr="00D23B67">
        <w:rPr>
          <w:rFonts w:ascii="Titillium" w:hAnsi="Titillium" w:cs="Times New Roman"/>
          <w:sz w:val="18"/>
          <w:szCs w:val="18"/>
        </w:rPr>
        <w:t xml:space="preserve">ai sensi dell’art. 14, co. 4, lett. g, del d.lgs. n. 150/2009 e delle delibere </w:t>
      </w:r>
      <w:r w:rsidR="00270100" w:rsidRPr="00D23B67">
        <w:rPr>
          <w:rFonts w:ascii="Titillium" w:hAnsi="Titillium" w:cs="Times New Roman"/>
          <w:sz w:val="18"/>
          <w:szCs w:val="18"/>
        </w:rPr>
        <w:t>ANAC n. 1310/2016</w:t>
      </w:r>
      <w:r w:rsidR="00181F65">
        <w:rPr>
          <w:rFonts w:ascii="Titillium" w:hAnsi="Titillium" w:cs="Times New Roman"/>
          <w:sz w:val="18"/>
          <w:szCs w:val="18"/>
        </w:rPr>
        <w:t>, 1134/2017</w:t>
      </w:r>
      <w:r w:rsidR="00270100" w:rsidRPr="00D23B67">
        <w:rPr>
          <w:rFonts w:ascii="Titillium" w:hAnsi="Titillium" w:cs="Times New Roman"/>
          <w:sz w:val="18"/>
          <w:szCs w:val="18"/>
        </w:rPr>
        <w:t xml:space="preserve"> e n. 203/2023</w:t>
      </w:r>
      <w:r w:rsidR="003526DB" w:rsidRPr="00D23B67">
        <w:rPr>
          <w:rFonts w:ascii="Titillium" w:hAnsi="Titillium" w:cs="Times New Roman"/>
          <w:sz w:val="18"/>
          <w:szCs w:val="18"/>
        </w:rPr>
        <w:t xml:space="preserve">, </w:t>
      </w:r>
      <w:r w:rsidR="00782E5B" w:rsidRPr="00D23B67">
        <w:rPr>
          <w:rFonts w:ascii="Titillium" w:hAnsi="Titillium" w:cs="Times New Roman"/>
          <w:sz w:val="18"/>
          <w:szCs w:val="18"/>
        </w:rPr>
        <w:t xml:space="preserve">la verifica sulla pubblicazione, sulla completezza, </w:t>
      </w:r>
      <w:r w:rsidR="00782E5B" w:rsidRPr="00D23B67">
        <w:rPr>
          <w:rFonts w:ascii="Titillium" w:hAnsi="Titillium" w:cs="Times New Roman"/>
          <w:color w:val="000000" w:themeColor="text1"/>
          <w:sz w:val="18"/>
          <w:szCs w:val="18"/>
        </w:rPr>
        <w:t>sull’aggiornamento e sull’apertura del formato di ciascun documento, dato ed infor</w:t>
      </w:r>
      <w:r w:rsidR="009517B8" w:rsidRPr="00D23B67">
        <w:rPr>
          <w:rFonts w:ascii="Titillium" w:hAnsi="Titillium" w:cs="Times New Roman"/>
          <w:color w:val="000000" w:themeColor="text1"/>
          <w:sz w:val="18"/>
          <w:szCs w:val="18"/>
        </w:rPr>
        <w:t xml:space="preserve">mazione elencati </w:t>
      </w:r>
      <w:r w:rsidR="00270100" w:rsidRPr="00D23B67">
        <w:rPr>
          <w:rFonts w:ascii="Titillium" w:hAnsi="Titillium" w:cs="Times New Roman"/>
          <w:color w:val="000000" w:themeColor="text1"/>
          <w:sz w:val="18"/>
          <w:szCs w:val="18"/>
        </w:rPr>
        <w:t>n</w:t>
      </w:r>
      <w:r w:rsidR="006457A5" w:rsidRPr="00D23B67">
        <w:rPr>
          <w:rFonts w:ascii="Titillium" w:hAnsi="Titillium" w:cs="Times New Roman"/>
          <w:color w:val="000000" w:themeColor="text1"/>
          <w:sz w:val="18"/>
          <w:szCs w:val="18"/>
        </w:rPr>
        <w:t>ella delibera</w:t>
      </w:r>
      <w:r w:rsidR="00782E5B" w:rsidRPr="00D23B67">
        <w:rPr>
          <w:rFonts w:ascii="Titillium" w:hAnsi="Titillium" w:cs="Times New Roman"/>
          <w:color w:val="000000" w:themeColor="text1"/>
          <w:sz w:val="18"/>
          <w:szCs w:val="18"/>
        </w:rPr>
        <w:t xml:space="preserve"> </w:t>
      </w:r>
      <w:r w:rsidR="00A30748" w:rsidRPr="00D23B67">
        <w:rPr>
          <w:rFonts w:ascii="Titillium" w:hAnsi="Titillium" w:cs="Times New Roman"/>
          <w:color w:val="000000" w:themeColor="text1"/>
          <w:sz w:val="18"/>
          <w:szCs w:val="18"/>
        </w:rPr>
        <w:t xml:space="preserve">n. </w:t>
      </w:r>
      <w:r w:rsidR="00270100" w:rsidRPr="00D23B67">
        <w:rPr>
          <w:rFonts w:ascii="Titillium" w:hAnsi="Titillium" w:cs="Times New Roman"/>
          <w:color w:val="000000" w:themeColor="text1"/>
          <w:sz w:val="18"/>
          <w:szCs w:val="18"/>
        </w:rPr>
        <w:t>203</w:t>
      </w:r>
      <w:r w:rsidR="003526DB" w:rsidRPr="00D23B67">
        <w:rPr>
          <w:rFonts w:ascii="Titillium" w:hAnsi="Titillium" w:cs="Times New Roman"/>
          <w:color w:val="000000" w:themeColor="text1"/>
          <w:sz w:val="18"/>
          <w:szCs w:val="18"/>
        </w:rPr>
        <w:t>/202</w:t>
      </w:r>
      <w:r w:rsidR="00270100" w:rsidRPr="00D23B67">
        <w:rPr>
          <w:rFonts w:ascii="Titillium" w:hAnsi="Titillium" w:cs="Times New Roman"/>
          <w:color w:val="000000" w:themeColor="text1"/>
          <w:sz w:val="18"/>
          <w:szCs w:val="18"/>
        </w:rPr>
        <w:t>3 de 17 maggio 2023.</w:t>
      </w:r>
    </w:p>
    <w:p w14:paraId="32F07459" w14:textId="77777777" w:rsidR="004E3FEA" w:rsidRPr="00D23B67" w:rsidRDefault="00782E5B" w:rsidP="001E200A">
      <w:pPr>
        <w:spacing w:before="120" w:after="0" w:line="276" w:lineRule="auto"/>
        <w:jc w:val="center"/>
        <w:rPr>
          <w:rFonts w:ascii="Titillium" w:hAnsi="Titillium" w:cs="Times New Roman"/>
          <w:b/>
          <w:bCs/>
          <w:sz w:val="18"/>
          <w:szCs w:val="18"/>
        </w:rPr>
      </w:pPr>
      <w:r w:rsidRPr="00D23B67">
        <w:rPr>
          <w:rFonts w:ascii="Titillium" w:hAnsi="Titillium" w:cs="Times New Roman"/>
          <w:b/>
          <w:bCs/>
          <w:sz w:val="18"/>
          <w:szCs w:val="18"/>
        </w:rPr>
        <w:t>ATTESTA</w:t>
      </w:r>
      <w:r w:rsidR="00851A73" w:rsidRPr="00D23B67">
        <w:rPr>
          <w:rFonts w:ascii="Titillium" w:hAnsi="Titillium" w:cs="Times New Roman"/>
          <w:b/>
          <w:bCs/>
          <w:sz w:val="18"/>
          <w:szCs w:val="18"/>
        </w:rPr>
        <w:t xml:space="preserve"> CHE</w:t>
      </w:r>
    </w:p>
    <w:p w14:paraId="4DAC4D47" w14:textId="75036CB6" w:rsidR="000B7CB8" w:rsidRPr="00D23B67" w:rsidRDefault="00A01D67" w:rsidP="00181F65">
      <w:pPr>
        <w:pStyle w:val="Paragrafoelenco"/>
        <w:widowControl/>
        <w:numPr>
          <w:ilvl w:val="0"/>
          <w:numId w:val="4"/>
        </w:numPr>
        <w:spacing w:before="120" w:after="0" w:line="276" w:lineRule="auto"/>
        <w:ind w:left="1468" w:hanging="357"/>
        <w:rPr>
          <w:rFonts w:ascii="Titillium" w:hAnsi="Titillium"/>
          <w:sz w:val="18"/>
          <w:szCs w:val="18"/>
        </w:rPr>
      </w:pPr>
      <w:r w:rsidRPr="00D23B67">
        <w:rPr>
          <w:rFonts w:ascii="Titillium" w:hAnsi="Titillium"/>
          <w:caps/>
          <w:sz w:val="18"/>
          <w:szCs w:val="18"/>
        </w:rPr>
        <w:t>l’</w:t>
      </w:r>
      <w:r w:rsidR="000B7CB8" w:rsidRPr="00D23B67">
        <w:rPr>
          <w:rFonts w:ascii="Titillium" w:hAnsi="Titillium"/>
          <w:sz w:val="18"/>
          <w:szCs w:val="18"/>
        </w:rPr>
        <w:t>amministrazione/ente</w:t>
      </w:r>
      <w:r w:rsidR="0027396B" w:rsidRPr="00D23B67">
        <w:rPr>
          <w:rFonts w:ascii="Titillium" w:hAnsi="Titillium"/>
          <w:sz w:val="18"/>
          <w:szCs w:val="18"/>
        </w:rPr>
        <w:t xml:space="preserve"> ha</w:t>
      </w:r>
      <w:r w:rsidR="00851A73" w:rsidRPr="00D23B67">
        <w:rPr>
          <w:rFonts w:ascii="Titillium" w:hAnsi="Titillium"/>
          <w:sz w:val="18"/>
          <w:szCs w:val="18"/>
        </w:rPr>
        <w:t xml:space="preserve"> individuato </w:t>
      </w:r>
      <w:r w:rsidRPr="00D23B67">
        <w:rPr>
          <w:rFonts w:ascii="Titillium" w:hAnsi="Titillium"/>
          <w:sz w:val="18"/>
          <w:szCs w:val="18"/>
        </w:rPr>
        <w:t xml:space="preserve">misure organizzative </w:t>
      </w:r>
      <w:r w:rsidR="0027396B" w:rsidRPr="00D23B67">
        <w:rPr>
          <w:rFonts w:ascii="Titillium" w:hAnsi="Titillium"/>
          <w:sz w:val="18"/>
          <w:szCs w:val="18"/>
        </w:rPr>
        <w:t>che assicurano</w:t>
      </w:r>
      <w:r w:rsidRPr="00D23B67">
        <w:rPr>
          <w:rFonts w:ascii="Titillium" w:hAnsi="Titillium"/>
          <w:sz w:val="18"/>
          <w:szCs w:val="18"/>
        </w:rPr>
        <w:t xml:space="preserve"> il regolare funzionamento dei flussi informativi </w:t>
      </w:r>
      <w:r w:rsidR="0027396B" w:rsidRPr="00D23B67">
        <w:rPr>
          <w:rFonts w:ascii="Titillium" w:hAnsi="Titillium"/>
          <w:sz w:val="18"/>
          <w:szCs w:val="18"/>
        </w:rPr>
        <w:t>per la</w:t>
      </w:r>
      <w:r w:rsidRPr="00D23B67">
        <w:rPr>
          <w:rFonts w:ascii="Titillium" w:hAnsi="Titillium"/>
          <w:sz w:val="18"/>
          <w:szCs w:val="18"/>
        </w:rPr>
        <w:t xml:space="preserve"> pubblicazione dei dati nella sezione “</w:t>
      </w:r>
      <w:r w:rsidRPr="00D23B67">
        <w:rPr>
          <w:rFonts w:ascii="Titillium" w:hAnsi="Titillium"/>
          <w:i/>
          <w:sz w:val="18"/>
          <w:szCs w:val="18"/>
        </w:rPr>
        <w:t>Amministrazione trasparente</w:t>
      </w:r>
      <w:r w:rsidRPr="00D23B67">
        <w:rPr>
          <w:rFonts w:ascii="Titillium" w:hAnsi="Titillium"/>
          <w:sz w:val="18"/>
          <w:szCs w:val="18"/>
        </w:rPr>
        <w:t>”</w:t>
      </w:r>
      <w:r w:rsidR="000B7CB8" w:rsidRPr="00D23B67">
        <w:rPr>
          <w:rFonts w:ascii="Titillium" w:hAnsi="Titillium"/>
          <w:sz w:val="18"/>
          <w:szCs w:val="18"/>
        </w:rPr>
        <w:t>;</w:t>
      </w:r>
    </w:p>
    <w:p w14:paraId="661D798D" w14:textId="77777777" w:rsidR="00602524" w:rsidRPr="00D23B67" w:rsidRDefault="00602524" w:rsidP="00181F65">
      <w:pPr>
        <w:pStyle w:val="Paragrafoelenco"/>
        <w:widowControl/>
        <w:spacing w:before="120" w:after="0" w:line="276" w:lineRule="auto"/>
        <w:ind w:left="1468"/>
        <w:rPr>
          <w:rFonts w:ascii="Titillium" w:hAnsi="Titillium"/>
          <w:i/>
          <w:sz w:val="18"/>
          <w:szCs w:val="18"/>
        </w:rPr>
      </w:pPr>
      <w:r w:rsidRPr="00D23B67">
        <w:rPr>
          <w:rFonts w:ascii="Courier New" w:hAnsi="Courier New" w:cs="Courier New"/>
          <w:sz w:val="18"/>
          <w:szCs w:val="18"/>
        </w:rPr>
        <w:t>□</w:t>
      </w:r>
      <w:r w:rsidRPr="00D23B67">
        <w:rPr>
          <w:rFonts w:ascii="Titillium" w:hAnsi="Titillium"/>
          <w:caps/>
          <w:sz w:val="18"/>
          <w:szCs w:val="18"/>
        </w:rPr>
        <w:t xml:space="preserve"> l’</w:t>
      </w:r>
      <w:r w:rsidRPr="00D23B67">
        <w:rPr>
          <w:rFonts w:ascii="Titillium" w:hAnsi="Titillium"/>
          <w:sz w:val="18"/>
          <w:szCs w:val="18"/>
        </w:rPr>
        <w:t xml:space="preserve">amministrazione/ente </w:t>
      </w:r>
      <w:r w:rsidRPr="00D23B67">
        <w:rPr>
          <w:rFonts w:ascii="Titillium" w:hAnsi="Titillium"/>
          <w:sz w:val="18"/>
          <w:szCs w:val="18"/>
          <w:u w:val="single"/>
        </w:rPr>
        <w:t>NON</w:t>
      </w:r>
      <w:r w:rsidRPr="00D23B67">
        <w:rPr>
          <w:rFonts w:ascii="Titillium" w:hAnsi="Titillium"/>
          <w:sz w:val="18"/>
          <w:szCs w:val="18"/>
        </w:rPr>
        <w:t xml:space="preserve"> ha individuato misure organizzative che assicurano il regolare funzionamento dei flussi informativi per la pubblicazione dei dati nella sezione “</w:t>
      </w:r>
      <w:r w:rsidRPr="00D23B67">
        <w:rPr>
          <w:rFonts w:ascii="Titillium" w:hAnsi="Titillium"/>
          <w:i/>
          <w:sz w:val="18"/>
          <w:szCs w:val="18"/>
        </w:rPr>
        <w:t>Amministrazione trasparente”;</w:t>
      </w:r>
    </w:p>
    <w:p w14:paraId="13CD117C" w14:textId="77777777" w:rsidR="005E04C0" w:rsidRPr="00D23B67" w:rsidRDefault="005E04C0" w:rsidP="00181F65">
      <w:pPr>
        <w:pStyle w:val="Paragrafoelenco"/>
        <w:widowControl/>
        <w:spacing w:before="120" w:after="0" w:line="276" w:lineRule="auto"/>
        <w:ind w:left="1468"/>
        <w:rPr>
          <w:rFonts w:ascii="Titillium" w:hAnsi="Titillium"/>
          <w:i/>
          <w:sz w:val="18"/>
          <w:szCs w:val="18"/>
        </w:rPr>
      </w:pPr>
    </w:p>
    <w:p w14:paraId="3D246DCE" w14:textId="21972F81" w:rsidR="004E3FEA" w:rsidRPr="00D23B67" w:rsidRDefault="000B7CB8" w:rsidP="00181F65">
      <w:pPr>
        <w:pStyle w:val="Paragrafoelenco"/>
        <w:widowControl/>
        <w:numPr>
          <w:ilvl w:val="0"/>
          <w:numId w:val="4"/>
        </w:numPr>
        <w:spacing w:before="120" w:after="0" w:line="276" w:lineRule="auto"/>
        <w:ind w:left="1468" w:hanging="357"/>
        <w:rPr>
          <w:rFonts w:ascii="Titillium" w:hAnsi="Titillium"/>
          <w:sz w:val="18"/>
          <w:szCs w:val="18"/>
        </w:rPr>
      </w:pPr>
      <w:r w:rsidRPr="00D23B67">
        <w:rPr>
          <w:rFonts w:ascii="Titillium" w:hAnsi="Titillium"/>
          <w:caps/>
          <w:sz w:val="18"/>
          <w:szCs w:val="18"/>
        </w:rPr>
        <w:t>l’</w:t>
      </w:r>
      <w:r w:rsidRPr="00D23B67">
        <w:rPr>
          <w:rFonts w:ascii="Titillium" w:hAnsi="Titillium"/>
          <w:sz w:val="18"/>
          <w:szCs w:val="18"/>
        </w:rPr>
        <w:t xml:space="preserve">amministrazione/ente ha individuato </w:t>
      </w:r>
      <w:r w:rsidR="00F81E69" w:rsidRPr="00D23B67">
        <w:rPr>
          <w:rFonts w:ascii="Titillium" w:hAnsi="Titillium"/>
          <w:sz w:val="18"/>
          <w:szCs w:val="18"/>
        </w:rPr>
        <w:t>nel</w:t>
      </w:r>
      <w:r w:rsidR="00BF1924" w:rsidRPr="00D23B67">
        <w:rPr>
          <w:rFonts w:ascii="Titillium" w:hAnsi="Titillium"/>
          <w:sz w:val="18"/>
          <w:szCs w:val="18"/>
        </w:rPr>
        <w:t>la sezione Trasparenza del PTPC</w:t>
      </w:r>
      <w:r w:rsidR="00893412" w:rsidRPr="00D23B67">
        <w:rPr>
          <w:rFonts w:ascii="Titillium" w:hAnsi="Titillium"/>
          <w:sz w:val="18"/>
          <w:szCs w:val="18"/>
        </w:rPr>
        <w:t>T</w:t>
      </w:r>
      <w:r w:rsidR="00F81E69" w:rsidRPr="00D23B67">
        <w:rPr>
          <w:rFonts w:ascii="Titillium" w:hAnsi="Titillium"/>
          <w:sz w:val="18"/>
          <w:szCs w:val="18"/>
        </w:rPr>
        <w:t xml:space="preserve"> </w:t>
      </w:r>
      <w:r w:rsidR="007F0BC7" w:rsidRPr="00D23B67">
        <w:rPr>
          <w:rFonts w:ascii="Titillium" w:hAnsi="Titillium"/>
          <w:sz w:val="18"/>
          <w:szCs w:val="18"/>
        </w:rPr>
        <w:t>i responsabili della trasmissione e della pubblicazione dei documenti, delle informazioni e dei dati ai sensi dell’art. 10 del d.lgs. 33/2013;</w:t>
      </w:r>
    </w:p>
    <w:p w14:paraId="399554AC" w14:textId="77777777" w:rsidR="004619A1" w:rsidRPr="00D23B67" w:rsidRDefault="000B7CB8" w:rsidP="00181F65">
      <w:pPr>
        <w:pStyle w:val="Paragrafoelenco"/>
        <w:widowControl/>
        <w:spacing w:before="120" w:after="0" w:line="276" w:lineRule="auto"/>
        <w:ind w:left="1468"/>
        <w:rPr>
          <w:rFonts w:ascii="Titillium" w:hAnsi="Titillium"/>
          <w:sz w:val="18"/>
          <w:szCs w:val="18"/>
        </w:rPr>
      </w:pPr>
      <w:r w:rsidRPr="00D23B67">
        <w:rPr>
          <w:rFonts w:ascii="Courier New" w:hAnsi="Courier New" w:cs="Courier New"/>
          <w:sz w:val="18"/>
          <w:szCs w:val="18"/>
        </w:rPr>
        <w:t>□</w:t>
      </w:r>
      <w:r w:rsidRPr="00D23B67">
        <w:rPr>
          <w:rFonts w:ascii="Titillium" w:hAnsi="Titillium" w:cs="Times New Roman"/>
          <w:sz w:val="18"/>
          <w:szCs w:val="18"/>
        </w:rPr>
        <w:t xml:space="preserve"> </w:t>
      </w:r>
      <w:r w:rsidRPr="00D23B67">
        <w:rPr>
          <w:rFonts w:ascii="Titillium" w:hAnsi="Titillium"/>
          <w:caps/>
          <w:sz w:val="18"/>
          <w:szCs w:val="18"/>
        </w:rPr>
        <w:t>l’</w:t>
      </w:r>
      <w:r w:rsidRPr="00D23B67">
        <w:rPr>
          <w:rFonts w:ascii="Titillium" w:hAnsi="Titillium"/>
          <w:sz w:val="18"/>
          <w:szCs w:val="18"/>
        </w:rPr>
        <w:t xml:space="preserve">amministrazione/ente </w:t>
      </w:r>
      <w:r w:rsidRPr="00D23B67">
        <w:rPr>
          <w:rFonts w:ascii="Titillium" w:hAnsi="Titillium"/>
          <w:sz w:val="18"/>
          <w:szCs w:val="18"/>
          <w:u w:val="single"/>
        </w:rPr>
        <w:t>NON</w:t>
      </w:r>
      <w:r w:rsidRPr="00D23B67">
        <w:rPr>
          <w:rFonts w:ascii="Titillium" w:hAnsi="Titillium"/>
          <w:sz w:val="18"/>
          <w:szCs w:val="18"/>
        </w:rPr>
        <w:t xml:space="preserve"> ha individuato </w:t>
      </w:r>
      <w:r w:rsidR="00F81E69" w:rsidRPr="00D23B67">
        <w:rPr>
          <w:rFonts w:ascii="Titillium" w:hAnsi="Titillium"/>
          <w:sz w:val="18"/>
          <w:szCs w:val="18"/>
        </w:rPr>
        <w:t>nel</w:t>
      </w:r>
      <w:r w:rsidR="00BF1924" w:rsidRPr="00D23B67">
        <w:rPr>
          <w:rFonts w:ascii="Titillium" w:hAnsi="Titillium"/>
          <w:sz w:val="18"/>
          <w:szCs w:val="18"/>
        </w:rPr>
        <w:t>la sezione Trasparenza del PTPC</w:t>
      </w:r>
      <w:r w:rsidR="00893412" w:rsidRPr="00D23B67">
        <w:rPr>
          <w:rFonts w:ascii="Titillium" w:hAnsi="Titillium"/>
          <w:sz w:val="18"/>
          <w:szCs w:val="18"/>
        </w:rPr>
        <w:t>T</w:t>
      </w:r>
      <w:r w:rsidR="00F81E69" w:rsidRPr="00D23B67">
        <w:rPr>
          <w:rFonts w:ascii="Titillium" w:hAnsi="Titillium"/>
          <w:sz w:val="18"/>
          <w:szCs w:val="18"/>
        </w:rPr>
        <w:t xml:space="preserve"> </w:t>
      </w:r>
      <w:r w:rsidRPr="00D23B67">
        <w:rPr>
          <w:rFonts w:ascii="Titillium" w:hAnsi="Titillium"/>
          <w:sz w:val="18"/>
          <w:szCs w:val="18"/>
        </w:rPr>
        <w:t>i responsabili della trasmissione e della pubblicazione dei documenti, delle informazioni e dei dati ai sensi dell’art. 10 del d.lgs. 33/2013;</w:t>
      </w:r>
    </w:p>
    <w:p w14:paraId="30DE2659" w14:textId="77777777" w:rsidR="005E04C0" w:rsidRPr="00D23B67" w:rsidRDefault="005E04C0" w:rsidP="00181F65">
      <w:pPr>
        <w:pStyle w:val="Paragrafoelenco"/>
        <w:widowControl/>
        <w:spacing w:before="120" w:after="0" w:line="276" w:lineRule="auto"/>
        <w:ind w:left="1468"/>
        <w:rPr>
          <w:rFonts w:ascii="Titillium" w:hAnsi="Titillium"/>
          <w:sz w:val="18"/>
          <w:szCs w:val="18"/>
        </w:rPr>
      </w:pPr>
    </w:p>
    <w:p w14:paraId="5571F255" w14:textId="767AD038" w:rsidR="004619A1" w:rsidRPr="00D23B67" w:rsidRDefault="00181F65" w:rsidP="00181F65">
      <w:pPr>
        <w:pStyle w:val="Paragrafoelenco"/>
        <w:spacing w:before="120" w:after="0" w:line="276" w:lineRule="auto"/>
        <w:ind w:left="1468"/>
        <w:rPr>
          <w:rFonts w:ascii="Titillium" w:hAnsi="Titillium"/>
          <w:sz w:val="18"/>
          <w:szCs w:val="18"/>
        </w:rPr>
      </w:pPr>
      <w:r w:rsidRPr="00D23B67">
        <w:rPr>
          <w:rFonts w:ascii="Courier New" w:hAnsi="Courier New" w:cs="Courier New"/>
          <w:sz w:val="18"/>
          <w:szCs w:val="18"/>
        </w:rPr>
        <w:t>□</w:t>
      </w:r>
      <w:r w:rsidRPr="00D23B67">
        <w:rPr>
          <w:rFonts w:ascii="Titillium" w:hAnsi="Titillium"/>
          <w:sz w:val="18"/>
          <w:szCs w:val="18"/>
        </w:rPr>
        <w:t xml:space="preserve"> </w:t>
      </w:r>
      <w:r>
        <w:rPr>
          <w:rFonts w:ascii="Titillium" w:hAnsi="Titillium"/>
          <w:sz w:val="18"/>
          <w:szCs w:val="18"/>
        </w:rPr>
        <w:t xml:space="preserve"> </w:t>
      </w:r>
      <w:r w:rsidR="004619A1" w:rsidRPr="00D23B67">
        <w:rPr>
          <w:rFonts w:ascii="Titillium" w:hAnsi="Titillium"/>
          <w:caps/>
          <w:sz w:val="18"/>
          <w:szCs w:val="18"/>
        </w:rPr>
        <w:t>L’</w:t>
      </w:r>
      <w:r w:rsidR="00674A85" w:rsidRPr="00D23B67">
        <w:rPr>
          <w:rFonts w:ascii="Titillium" w:hAnsi="Titillium"/>
          <w:sz w:val="18"/>
          <w:szCs w:val="18"/>
        </w:rPr>
        <w:t xml:space="preserve">amministrazione/ente NON </w:t>
      </w:r>
      <w:r w:rsidR="004619A1" w:rsidRPr="00D23B67">
        <w:rPr>
          <w:rFonts w:ascii="Titillium" w:hAnsi="Titillium"/>
          <w:sz w:val="18"/>
          <w:szCs w:val="18"/>
        </w:rPr>
        <w:t>ha dispo</w:t>
      </w:r>
      <w:r w:rsidR="00FB22A4" w:rsidRPr="00D23B67">
        <w:rPr>
          <w:rFonts w:ascii="Titillium" w:hAnsi="Titillium"/>
          <w:sz w:val="18"/>
          <w:szCs w:val="18"/>
        </w:rPr>
        <w:t xml:space="preserve">sto filtri </w:t>
      </w:r>
      <w:r w:rsidR="00FB22A4" w:rsidRPr="00D23B67">
        <w:rPr>
          <w:rFonts w:ascii="Titillium" w:eastAsiaTheme="minorHAnsi" w:hAnsi="Titillium" w:cstheme="minorBidi"/>
          <w:sz w:val="18"/>
          <w:szCs w:val="18"/>
          <w:lang w:eastAsia="en-US"/>
        </w:rPr>
        <w:t xml:space="preserve">e/o </w:t>
      </w:r>
      <w:r w:rsidR="004619A1" w:rsidRPr="00D23B67">
        <w:rPr>
          <w:rFonts w:ascii="Titillium" w:hAnsi="Titillium"/>
          <w:sz w:val="18"/>
          <w:szCs w:val="18"/>
        </w:rPr>
        <w:t xml:space="preserve">altre soluzioni tecniche atte ad impedire ai motori di ricerca </w:t>
      </w:r>
      <w:r w:rsidR="004619A1" w:rsidRPr="00D23B67">
        <w:rPr>
          <w:rFonts w:ascii="Titillium" w:hAnsi="Titillium"/>
          <w:i/>
          <w:sz w:val="18"/>
          <w:szCs w:val="18"/>
        </w:rPr>
        <w:t>web</w:t>
      </w:r>
      <w:r w:rsidR="004619A1" w:rsidRPr="00D23B67">
        <w:rPr>
          <w:rFonts w:ascii="Titillium" w:hAnsi="Titillium"/>
          <w:sz w:val="18"/>
          <w:szCs w:val="18"/>
        </w:rPr>
        <w:t xml:space="preserve"> di indicizzare ed effettuare ricerche all’interno della sezione AT, salvo le ipotesi consentite dalla normativa vigente;</w:t>
      </w:r>
    </w:p>
    <w:p w14:paraId="0F6A8418" w14:textId="2AAAD02C" w:rsidR="004619A1" w:rsidRDefault="004619A1" w:rsidP="00181F65">
      <w:pPr>
        <w:pStyle w:val="Paragrafoelenco"/>
        <w:numPr>
          <w:ilvl w:val="0"/>
          <w:numId w:val="4"/>
        </w:numPr>
        <w:spacing w:before="120" w:after="0" w:line="276" w:lineRule="auto"/>
        <w:ind w:left="1468" w:hanging="357"/>
        <w:rPr>
          <w:rFonts w:ascii="Titillium" w:hAnsi="Titillium"/>
          <w:sz w:val="18"/>
          <w:szCs w:val="18"/>
        </w:rPr>
      </w:pPr>
      <w:r w:rsidRPr="00D23B67">
        <w:rPr>
          <w:rFonts w:ascii="Titillium" w:hAnsi="Titillium"/>
          <w:caps/>
          <w:sz w:val="18"/>
          <w:szCs w:val="18"/>
        </w:rPr>
        <w:t>L’</w:t>
      </w:r>
      <w:r w:rsidR="00674A85" w:rsidRPr="00D23B67">
        <w:rPr>
          <w:rFonts w:ascii="Titillium" w:hAnsi="Titillium"/>
          <w:sz w:val="18"/>
          <w:szCs w:val="18"/>
        </w:rPr>
        <w:t xml:space="preserve">amministrazione/ente </w:t>
      </w:r>
      <w:r w:rsidRPr="00D23B67">
        <w:rPr>
          <w:rFonts w:ascii="Titillium" w:hAnsi="Titillium"/>
          <w:sz w:val="18"/>
          <w:szCs w:val="18"/>
        </w:rPr>
        <w:t>ha disposto filtri</w:t>
      </w:r>
      <w:r w:rsidR="00674A85" w:rsidRPr="00D23B67">
        <w:rPr>
          <w:rFonts w:ascii="Titillium" w:hAnsi="Titillium"/>
          <w:sz w:val="18"/>
          <w:szCs w:val="18"/>
        </w:rPr>
        <w:t xml:space="preserve"> </w:t>
      </w:r>
      <w:r w:rsidR="00FB22A4" w:rsidRPr="00D23B67">
        <w:rPr>
          <w:rFonts w:ascii="Titillium" w:eastAsiaTheme="minorHAnsi" w:hAnsi="Titillium" w:cstheme="minorBidi"/>
          <w:sz w:val="18"/>
          <w:szCs w:val="18"/>
          <w:lang w:eastAsia="en-US"/>
        </w:rPr>
        <w:t xml:space="preserve">e/o </w:t>
      </w:r>
      <w:r w:rsidRPr="00D23B67">
        <w:rPr>
          <w:rFonts w:ascii="Titillium" w:hAnsi="Titillium"/>
          <w:sz w:val="18"/>
          <w:szCs w:val="18"/>
        </w:rPr>
        <w:t>altre soluzioni tecniche atte ad impedire ai motori</w:t>
      </w:r>
      <w:r w:rsidR="00E703E1" w:rsidRPr="00D23B67">
        <w:rPr>
          <w:rFonts w:ascii="Titillium" w:hAnsi="Titillium"/>
          <w:sz w:val="18"/>
          <w:szCs w:val="18"/>
        </w:rPr>
        <w:t xml:space="preserve"> </w:t>
      </w:r>
      <w:r w:rsidRPr="00D23B67">
        <w:rPr>
          <w:rFonts w:ascii="Titillium" w:hAnsi="Titillium"/>
          <w:sz w:val="18"/>
          <w:szCs w:val="18"/>
        </w:rPr>
        <w:t xml:space="preserve">di ricerca </w:t>
      </w:r>
      <w:r w:rsidRPr="00D23B67">
        <w:rPr>
          <w:rFonts w:ascii="Titillium" w:hAnsi="Titillium"/>
          <w:i/>
          <w:sz w:val="18"/>
          <w:szCs w:val="18"/>
        </w:rPr>
        <w:t>web</w:t>
      </w:r>
      <w:r w:rsidRPr="00D23B67">
        <w:rPr>
          <w:rFonts w:ascii="Titillium" w:hAnsi="Titillium"/>
          <w:sz w:val="18"/>
          <w:szCs w:val="18"/>
        </w:rPr>
        <w:t xml:space="preserve"> di indicizzare ed effettuare ricerc</w:t>
      </w:r>
      <w:r w:rsidR="00931D8D" w:rsidRPr="00D23B67">
        <w:rPr>
          <w:rFonts w:ascii="Titillium" w:hAnsi="Titillium"/>
          <w:sz w:val="18"/>
          <w:szCs w:val="18"/>
        </w:rPr>
        <w:t>he all’interno della sezione AT.</w:t>
      </w:r>
    </w:p>
    <w:p w14:paraId="0274A657" w14:textId="77777777" w:rsidR="00181F65" w:rsidRPr="00D23B67" w:rsidRDefault="00181F65" w:rsidP="00181F65">
      <w:pPr>
        <w:pStyle w:val="Paragrafoelenco"/>
        <w:spacing w:before="120" w:after="0" w:line="276" w:lineRule="auto"/>
        <w:ind w:left="1468" w:firstLine="0"/>
        <w:rPr>
          <w:rFonts w:ascii="Titillium" w:hAnsi="Titillium"/>
          <w:sz w:val="18"/>
          <w:szCs w:val="18"/>
        </w:rPr>
      </w:pPr>
    </w:p>
    <w:p w14:paraId="1524126D" w14:textId="77777777" w:rsidR="00851A73" w:rsidRPr="00D23B67" w:rsidRDefault="00851A73" w:rsidP="001E200A">
      <w:pPr>
        <w:pStyle w:val="Paragrafoelenco"/>
        <w:widowControl/>
        <w:spacing w:before="120" w:after="0" w:line="276" w:lineRule="auto"/>
        <w:ind w:left="388" w:firstLine="0"/>
        <w:jc w:val="center"/>
        <w:rPr>
          <w:rFonts w:ascii="Titillium" w:hAnsi="Titillium"/>
          <w:b/>
          <w:bCs/>
          <w:sz w:val="18"/>
          <w:szCs w:val="18"/>
        </w:rPr>
      </w:pPr>
      <w:r w:rsidRPr="00D23B67">
        <w:rPr>
          <w:rFonts w:ascii="Titillium" w:hAnsi="Titillium" w:cs="Times New Roman"/>
          <w:b/>
          <w:bCs/>
          <w:sz w:val="18"/>
          <w:szCs w:val="18"/>
        </w:rPr>
        <w:t>ATTESTA</w:t>
      </w:r>
    </w:p>
    <w:p w14:paraId="23E39852" w14:textId="3D83D55F" w:rsidR="004E3FEA" w:rsidRPr="00D23B67" w:rsidRDefault="00782E5B" w:rsidP="001E200A">
      <w:pPr>
        <w:pStyle w:val="Paragrafoelenco"/>
        <w:widowControl/>
        <w:spacing w:before="120" w:after="0" w:line="276" w:lineRule="auto"/>
        <w:ind w:left="388" w:firstLine="0"/>
        <w:rPr>
          <w:rFonts w:ascii="Titillium" w:hAnsi="Titillium"/>
          <w:sz w:val="18"/>
          <w:szCs w:val="18"/>
        </w:rPr>
      </w:pPr>
      <w:r w:rsidRPr="00D23B67">
        <w:rPr>
          <w:rFonts w:ascii="Titillium" w:hAnsi="Titillium" w:cs="Times New Roman"/>
          <w:sz w:val="18"/>
          <w:szCs w:val="18"/>
        </w:rPr>
        <w:t>la veridicità</w:t>
      </w:r>
      <w:r w:rsidR="00066D41" w:rsidRPr="00D23B67">
        <w:rPr>
          <w:rStyle w:val="Rimandonotaapidipagina"/>
          <w:rFonts w:ascii="Titillium" w:hAnsi="Titillium" w:cs="Times New Roman"/>
          <w:sz w:val="18"/>
          <w:szCs w:val="18"/>
        </w:rPr>
        <w:footnoteReference w:id="1"/>
      </w:r>
      <w:r w:rsidR="00066D41" w:rsidRPr="00D23B67">
        <w:rPr>
          <w:rFonts w:ascii="Titillium" w:hAnsi="Titillium" w:cs="Times New Roman"/>
          <w:sz w:val="18"/>
          <w:szCs w:val="18"/>
        </w:rPr>
        <w:t xml:space="preserve"> </w:t>
      </w:r>
      <w:r w:rsidRPr="00D23B67">
        <w:rPr>
          <w:rFonts w:ascii="Titillium" w:hAnsi="Titillium" w:cs="Times New Roman"/>
          <w:sz w:val="18"/>
          <w:szCs w:val="18"/>
        </w:rPr>
        <w:t>e l’attendibilità, alla data dell’attestazione</w:t>
      </w:r>
      <w:r w:rsidRPr="00D23B67">
        <w:rPr>
          <w:rFonts w:ascii="Titillium" w:hAnsi="Titillium"/>
          <w:sz w:val="18"/>
          <w:szCs w:val="18"/>
        </w:rPr>
        <w:t>,</w:t>
      </w:r>
      <w:r w:rsidRPr="00D23B67">
        <w:rPr>
          <w:rFonts w:ascii="Titillium" w:hAnsi="Titillium" w:cs="Times New Roman"/>
          <w:sz w:val="18"/>
          <w:szCs w:val="18"/>
        </w:rPr>
        <w:t xml:space="preserve"> di quanto riportato </w:t>
      </w:r>
      <w:r w:rsidR="00181F65">
        <w:rPr>
          <w:rFonts w:ascii="Titillium" w:hAnsi="Titillium" w:cs="Times New Roman"/>
          <w:sz w:val="18"/>
          <w:szCs w:val="18"/>
        </w:rPr>
        <w:t>nella Griglia di Rilevazione</w:t>
      </w:r>
      <w:r w:rsidRPr="00D23B67">
        <w:rPr>
          <w:rFonts w:ascii="Titillium" w:hAnsi="Titillium" w:cs="Times New Roman"/>
          <w:color w:val="FF0000"/>
          <w:sz w:val="18"/>
          <w:szCs w:val="18"/>
        </w:rPr>
        <w:t xml:space="preserve"> </w:t>
      </w:r>
      <w:r w:rsidRPr="00D23B67">
        <w:rPr>
          <w:rFonts w:ascii="Titillium" w:hAnsi="Titillium" w:cs="Times New Roman"/>
          <w:sz w:val="18"/>
          <w:szCs w:val="18"/>
        </w:rPr>
        <w:t>rispetto a quanto pubblicat</w:t>
      </w:r>
      <w:r w:rsidRPr="00D23B67">
        <w:rPr>
          <w:rFonts w:ascii="Titillium" w:hAnsi="Titillium"/>
          <w:sz w:val="18"/>
          <w:szCs w:val="18"/>
        </w:rPr>
        <w:t>o sul si</w:t>
      </w:r>
      <w:r w:rsidR="000B7CB8" w:rsidRPr="00D23B67">
        <w:rPr>
          <w:rFonts w:ascii="Titillium" w:hAnsi="Titillium"/>
          <w:sz w:val="18"/>
          <w:szCs w:val="18"/>
        </w:rPr>
        <w:t>to dell’amministrazione/</w:t>
      </w:r>
      <w:r w:rsidRPr="00D23B67">
        <w:rPr>
          <w:rFonts w:ascii="Titillium" w:hAnsi="Titillium"/>
          <w:sz w:val="18"/>
          <w:szCs w:val="18"/>
        </w:rPr>
        <w:t>ente.</w:t>
      </w:r>
    </w:p>
    <w:p w14:paraId="6D574885" w14:textId="77777777" w:rsidR="004E3FEA" w:rsidRPr="00D23B67" w:rsidRDefault="004E3FEA" w:rsidP="001E200A">
      <w:pPr>
        <w:widowControl/>
        <w:spacing w:line="276" w:lineRule="auto"/>
        <w:rPr>
          <w:rFonts w:ascii="Titillium" w:hAnsi="Titillium" w:cs="Times New Roman"/>
          <w:sz w:val="18"/>
          <w:szCs w:val="18"/>
        </w:rPr>
      </w:pPr>
    </w:p>
    <w:p w14:paraId="0C4C3FB9" w14:textId="6ED3C8C4" w:rsidR="00D23B67" w:rsidRPr="00D23B67" w:rsidRDefault="00EA2815" w:rsidP="006C139D">
      <w:pPr>
        <w:spacing w:before="120" w:after="0" w:line="276" w:lineRule="auto"/>
        <w:jc w:val="left"/>
        <w:rPr>
          <w:rFonts w:ascii="Titillium" w:hAnsi="Titillium" w:cs="Times New Roman"/>
          <w:sz w:val="18"/>
          <w:szCs w:val="18"/>
        </w:rPr>
      </w:pPr>
      <w:r>
        <w:rPr>
          <w:rFonts w:ascii="Titillium" w:hAnsi="Titillium" w:cs="Times New Roman"/>
          <w:sz w:val="18"/>
          <w:szCs w:val="18"/>
        </w:rPr>
        <w:t xml:space="preserve">Piacenza, </w:t>
      </w:r>
      <w:r w:rsidR="005B521A" w:rsidRPr="00D23B67">
        <w:rPr>
          <w:rFonts w:ascii="Titillium" w:hAnsi="Titillium" w:cs="Times New Roman"/>
          <w:sz w:val="18"/>
          <w:szCs w:val="18"/>
        </w:rPr>
        <w:t>30 Giugno 2023</w:t>
      </w:r>
    </w:p>
    <w:p w14:paraId="0CFAB2E2" w14:textId="77777777" w:rsidR="00D23B67" w:rsidRPr="00D23B67" w:rsidRDefault="006C139D" w:rsidP="006C139D">
      <w:pPr>
        <w:spacing w:before="120" w:after="0" w:line="276" w:lineRule="auto"/>
        <w:jc w:val="left"/>
        <w:rPr>
          <w:rFonts w:ascii="Titillium" w:hAnsi="Titillium" w:cs="Times New Roman"/>
          <w:sz w:val="18"/>
          <w:szCs w:val="18"/>
        </w:rPr>
      </w:pPr>
      <w:r w:rsidRPr="00D23B67">
        <w:rPr>
          <w:rFonts w:ascii="Titillium" w:hAnsi="Titillium" w:cs="Times New Roman"/>
          <w:sz w:val="18"/>
          <w:szCs w:val="18"/>
        </w:rPr>
        <w:t xml:space="preserve">                   </w:t>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Pr="00D23B67">
        <w:rPr>
          <w:rFonts w:ascii="Titillium" w:hAnsi="Titillium" w:cs="Times New Roman"/>
          <w:sz w:val="18"/>
          <w:szCs w:val="18"/>
        </w:rPr>
        <w:tab/>
      </w:r>
      <w:r w:rsidR="000B7CB8" w:rsidRPr="00D23B67">
        <w:rPr>
          <w:rFonts w:ascii="Titillium" w:hAnsi="Titillium" w:cs="Times New Roman"/>
          <w:sz w:val="18"/>
          <w:szCs w:val="18"/>
        </w:rPr>
        <w:t xml:space="preserve">Firma </w:t>
      </w:r>
      <w:r w:rsidRPr="00D23B67">
        <w:rPr>
          <w:rFonts w:ascii="Titillium" w:hAnsi="Titillium" w:cs="Times New Roman"/>
          <w:sz w:val="18"/>
          <w:szCs w:val="18"/>
        </w:rPr>
        <w:t>del RPCT</w:t>
      </w:r>
    </w:p>
    <w:p w14:paraId="3B33C6F0" w14:textId="3D80B05D" w:rsidR="004E3FEA" w:rsidRPr="00D23B67" w:rsidRDefault="006C139D" w:rsidP="00D23B67">
      <w:pPr>
        <w:spacing w:after="0" w:line="276" w:lineRule="auto"/>
        <w:ind w:left="5664" w:firstLine="708"/>
        <w:jc w:val="left"/>
        <w:rPr>
          <w:rFonts w:ascii="Titillium" w:hAnsi="Titillium" w:cs="Times New Roman"/>
          <w:sz w:val="18"/>
          <w:szCs w:val="18"/>
        </w:rPr>
      </w:pPr>
      <w:r w:rsidRPr="00D23B67">
        <w:rPr>
          <w:rFonts w:ascii="Titillium" w:hAnsi="Titillium" w:cs="Times New Roman"/>
          <w:sz w:val="18"/>
          <w:szCs w:val="18"/>
        </w:rPr>
        <w:t xml:space="preserve">     </w:t>
      </w:r>
      <w:r w:rsidR="004D6CB7" w:rsidRPr="00D23B67">
        <w:rPr>
          <w:rFonts w:ascii="Titillium" w:hAnsi="Titillium" w:cs="Times New Roman"/>
          <w:sz w:val="18"/>
          <w:szCs w:val="18"/>
        </w:rPr>
        <w:t xml:space="preserve">        </w:t>
      </w:r>
      <w:r w:rsidR="000B7CB8" w:rsidRPr="00D23B67">
        <w:rPr>
          <w:rFonts w:ascii="Titillium" w:hAnsi="Titillium" w:cs="Times New Roman"/>
          <w:sz w:val="18"/>
          <w:szCs w:val="18"/>
        </w:rPr>
        <w:t>(</w:t>
      </w:r>
      <w:r w:rsidRPr="00D23B67">
        <w:rPr>
          <w:rFonts w:ascii="Titillium" w:hAnsi="Titillium" w:cs="Times New Roman"/>
          <w:sz w:val="18"/>
          <w:szCs w:val="18"/>
        </w:rPr>
        <w:t xml:space="preserve">Geom. </w:t>
      </w:r>
      <w:r w:rsidR="004D6CB7" w:rsidRPr="00D23B67">
        <w:rPr>
          <w:rFonts w:ascii="Titillium" w:hAnsi="Titillium" w:cs="Times New Roman"/>
          <w:sz w:val="18"/>
          <w:szCs w:val="18"/>
        </w:rPr>
        <w:t>Lisa Draghi</w:t>
      </w:r>
      <w:r w:rsidRPr="00D23B67">
        <w:rPr>
          <w:rFonts w:ascii="Titillium" w:hAnsi="Titillium" w:cs="Times New Roman"/>
          <w:sz w:val="18"/>
          <w:szCs w:val="18"/>
        </w:rPr>
        <w:t>)</w:t>
      </w:r>
      <w:r w:rsidR="00782E5B" w:rsidRPr="00D23B67">
        <w:rPr>
          <w:rFonts w:ascii="Titillium" w:hAnsi="Titillium" w:cs="Times New Roman"/>
          <w:sz w:val="18"/>
          <w:szCs w:val="18"/>
        </w:rPr>
        <w:t xml:space="preserve"> </w:t>
      </w:r>
    </w:p>
    <w:sectPr w:rsidR="004E3FEA" w:rsidRPr="00D23B67" w:rsidSect="00181F65">
      <w:headerReference w:type="even" r:id="rId8"/>
      <w:headerReference w:type="default" r:id="rId9"/>
      <w:footerReference w:type="even" r:id="rId10"/>
      <w:footerReference w:type="default" r:id="rId11"/>
      <w:headerReference w:type="first" r:id="rId12"/>
      <w:footerReference w:type="first" r:id="rId13"/>
      <w:pgSz w:w="11906" w:h="16838"/>
      <w:pgMar w:top="1418" w:right="1134" w:bottom="709" w:left="1134" w:header="709"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39901" w14:textId="77777777" w:rsidR="007E3898" w:rsidRDefault="007E3898">
      <w:pPr>
        <w:spacing w:after="0" w:line="240" w:lineRule="auto"/>
      </w:pPr>
      <w:r>
        <w:separator/>
      </w:r>
    </w:p>
  </w:endnote>
  <w:endnote w:type="continuationSeparator" w:id="0">
    <w:p w14:paraId="1765FDE1" w14:textId="77777777" w:rsidR="007E3898" w:rsidRDefault="007E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D4B5" w14:textId="77777777" w:rsidR="00B91F3C" w:rsidRDefault="00B91F3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E0FBF" w14:textId="77777777" w:rsidR="00B91F3C" w:rsidRDefault="00B91F3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050C" w14:textId="77777777" w:rsidR="00B91F3C" w:rsidRDefault="00B91F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3B01E" w14:textId="77777777" w:rsidR="007E3898" w:rsidRDefault="007E3898">
      <w:r>
        <w:separator/>
      </w:r>
    </w:p>
  </w:footnote>
  <w:footnote w:type="continuationSeparator" w:id="0">
    <w:p w14:paraId="66623057" w14:textId="77777777" w:rsidR="007E3898" w:rsidRDefault="007E3898">
      <w:r>
        <w:continuationSeparator/>
      </w:r>
    </w:p>
  </w:footnote>
  <w:footnote w:id="1">
    <w:p w14:paraId="19576DE0" w14:textId="77777777" w:rsidR="005850D4" w:rsidRDefault="005850D4" w:rsidP="005850D4">
      <w:pPr>
        <w:pStyle w:val="Testonotaapidipagina"/>
        <w:spacing w:line="240" w:lineRule="auto"/>
        <w:rPr>
          <w:sz w:val="16"/>
          <w:szCs w:val="16"/>
        </w:rPr>
      </w:pPr>
      <w:bookmarkStart w:id="0" w:name="_Hlk72939086"/>
      <w:bookmarkStart w:id="1" w:name="_Hlk72939087"/>
      <w:r w:rsidRPr="001E200A">
        <w:rPr>
          <w:rStyle w:val="Rimandonotaapidipagina"/>
          <w:rFonts w:ascii="Titillium" w:hAnsi="Titillium"/>
          <w:sz w:val="12"/>
          <w:szCs w:val="12"/>
        </w:rPr>
        <w:footnoteRef/>
      </w:r>
      <w:r w:rsidRPr="00AA64A3">
        <w:rPr>
          <w:rFonts w:ascii="Titillium" w:hAnsi="Titillium"/>
          <w:sz w:val="18"/>
          <w:szCs w:val="18"/>
        </w:rPr>
        <w:t xml:space="preserve">Il concetto di veridicità è inteso qui come conformità tra quanto rilevato </w:t>
      </w:r>
      <w:r>
        <w:rPr>
          <w:rFonts w:ascii="Titillium" w:hAnsi="Titillium"/>
          <w:sz w:val="18"/>
          <w:szCs w:val="18"/>
        </w:rPr>
        <w:t>dal RPCT</w:t>
      </w:r>
      <w:r w:rsidRPr="00AA64A3">
        <w:rPr>
          <w:rFonts w:ascii="Titillium" w:hAnsi="Titillium"/>
          <w:sz w:val="18"/>
          <w:szCs w:val="18"/>
        </w:rPr>
        <w:t xml:space="preserve"> e quanto pubblicato sul sito istituzionale al momento dell’attestazione</w:t>
      </w:r>
      <w:bookmarkEnd w:id="0"/>
      <w:bookmarkEnd w:id="1"/>
      <w:r>
        <w:rPr>
          <w:rFonts w:ascii="Titillium" w:hAnsi="Titillium"/>
          <w:sz w:val="18"/>
          <w:szCs w:val="18"/>
        </w:rPr>
        <w:t>.</w:t>
      </w:r>
      <w:r w:rsidRPr="005850D4">
        <w:rPr>
          <w:sz w:val="16"/>
          <w:szCs w:val="16"/>
        </w:rPr>
        <w:t xml:space="preserve"> </w:t>
      </w:r>
    </w:p>
    <w:p w14:paraId="4A1EEF62" w14:textId="6AD36A0C" w:rsidR="005850D4" w:rsidRDefault="005850D4" w:rsidP="005850D4">
      <w:pPr>
        <w:pStyle w:val="Testonotaapidipagina"/>
        <w:spacing w:line="240" w:lineRule="auto"/>
        <w:rPr>
          <w:sz w:val="16"/>
          <w:szCs w:val="16"/>
        </w:rPr>
      </w:pPr>
      <w:r w:rsidRPr="005850D4">
        <w:rPr>
          <w:sz w:val="16"/>
          <w:szCs w:val="16"/>
        </w:rPr>
        <w:t>In osservanza di quanto statuito nella delibera ANAC n. 141 de</w:t>
      </w:r>
      <w:r w:rsidR="00181F65">
        <w:rPr>
          <w:sz w:val="16"/>
          <w:szCs w:val="16"/>
        </w:rPr>
        <w:t>l</w:t>
      </w:r>
      <w:r w:rsidRPr="005850D4">
        <w:rPr>
          <w:sz w:val="16"/>
          <w:szCs w:val="16"/>
        </w:rPr>
        <w:t xml:space="preserve"> 21 febbraio 2018, si specifica che il Collegio Geometri e G.L di </w:t>
      </w:r>
      <w:r w:rsidR="00181F65">
        <w:rPr>
          <w:sz w:val="16"/>
          <w:szCs w:val="16"/>
        </w:rPr>
        <w:t>Piacenza</w:t>
      </w:r>
      <w:r w:rsidRPr="005850D4">
        <w:rPr>
          <w:sz w:val="16"/>
          <w:szCs w:val="16"/>
        </w:rPr>
        <w:t xml:space="preserve"> non prevede la figura dell'OIV o altro organismo con funzioni analoghe dato che l'art. 2, comma 2 bis D.L. 101/ 2013, convertito con Legge 125/2013 prevede espressamente che </w:t>
      </w:r>
      <w:r w:rsidRPr="005850D4">
        <w:rPr>
          <w:i/>
          <w:iCs/>
          <w:sz w:val="16"/>
          <w:szCs w:val="16"/>
        </w:rPr>
        <w:t>"Gli ordini, i collegi professionali, i relativi organismi nazionali e gli enti aventi natura associativa, con  propri regolamenti, si adeguano, tenendo conto delle relative peculiarità, ai principi del decreto legislativo 30 marzo 2001, n. 165, ad eccezione dell'articolo 4, del decreto legislativo 27 ottobre 2009 , n. 150, ad eccezione dell'articolo 14, nonché delle disposizioni di cui al titolo III e ai principi generali di razionalizzazione e contenimento della spesa, in quanto non gravanti sulla finanza pubblica”</w:t>
      </w:r>
      <w:r w:rsidRPr="005850D4">
        <w:rPr>
          <w:sz w:val="16"/>
          <w:szCs w:val="16"/>
        </w:rPr>
        <w:t>.</w:t>
      </w:r>
    </w:p>
    <w:p w14:paraId="4E3C28BF" w14:textId="4B9846B2" w:rsidR="005850D4" w:rsidRPr="005850D4" w:rsidRDefault="005850D4" w:rsidP="005850D4">
      <w:pPr>
        <w:rPr>
          <w:rFonts w:cs="Calibri"/>
          <w:sz w:val="16"/>
          <w:szCs w:val="16"/>
          <w:lang w:eastAsia="en-US"/>
        </w:rPr>
      </w:pPr>
      <w:r w:rsidRPr="005850D4">
        <w:rPr>
          <w:sz w:val="16"/>
          <w:szCs w:val="16"/>
        </w:rPr>
        <w:t xml:space="preserve">In considerazione di quanto sopra, la presente attestazione </w:t>
      </w:r>
      <w:r>
        <w:rPr>
          <w:sz w:val="16"/>
          <w:szCs w:val="16"/>
        </w:rPr>
        <w:t xml:space="preserve">è stata effettuata </w:t>
      </w:r>
      <w:r w:rsidRPr="005850D4">
        <w:rPr>
          <w:sz w:val="16"/>
          <w:szCs w:val="16"/>
        </w:rPr>
        <w:t>dallo scrivente responsabile RPCT</w:t>
      </w:r>
      <w:r>
        <w:rPr>
          <w:sz w:val="16"/>
          <w:szCs w:val="16"/>
        </w:rPr>
        <w:t>.</w:t>
      </w:r>
    </w:p>
    <w:p w14:paraId="7AF51EB9" w14:textId="74F40EF0" w:rsidR="00066D41" w:rsidRDefault="00066D41" w:rsidP="001E200A">
      <w:pPr>
        <w:pStyle w:val="Testonotaapidipagina"/>
        <w:spacing w:line="240" w:lineRule="auto"/>
        <w:rPr>
          <w:rFonts w:ascii="Titillium" w:hAnsi="Titillium"/>
          <w:sz w:val="18"/>
          <w:szCs w:val="18"/>
        </w:rPr>
      </w:pPr>
    </w:p>
    <w:p w14:paraId="770E1E52" w14:textId="77777777" w:rsidR="005850D4" w:rsidRDefault="005850D4" w:rsidP="001E200A">
      <w:pPr>
        <w:pStyle w:val="Testonotaapidipagina"/>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874B" w14:textId="77777777" w:rsidR="00B91F3C" w:rsidRDefault="00B91F3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B4E39" w14:textId="6788B841" w:rsidR="004E3FEA" w:rsidRPr="00B91F3C" w:rsidRDefault="004E3FEA" w:rsidP="00B91F3C">
    <w:pPr>
      <w:pStyle w:val="Intestazione"/>
      <w:spacing w:line="276" w:lineRule="auto"/>
      <w:rPr>
        <w:rFonts w:ascii="Titillium" w:hAnsi="Titillium"/>
        <w:b/>
        <w:sz w:val="20"/>
        <w:szCs w:val="2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F5581" w14:textId="77777777" w:rsidR="00B91F3C" w:rsidRDefault="00B91F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94CA5"/>
    <w:multiLevelType w:val="hybridMultilevel"/>
    <w:tmpl w:val="7952D70E"/>
    <w:lvl w:ilvl="0" w:tplc="0410000F">
      <w:start w:val="1"/>
      <w:numFmt w:val="decimal"/>
      <w:lvlText w:val="%1."/>
      <w:lvlJc w:val="left"/>
      <w:pPr>
        <w:ind w:left="930" w:hanging="360"/>
      </w:pPr>
      <w:rPr>
        <w:rFonts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1" w15:restartNumberingAfterBreak="0">
    <w:nsid w:val="298F04A3"/>
    <w:multiLevelType w:val="multilevel"/>
    <w:tmpl w:val="2A0EE6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40D86889"/>
    <w:multiLevelType w:val="hybridMultilevel"/>
    <w:tmpl w:val="1A2C6F62"/>
    <w:lvl w:ilvl="0" w:tplc="04100005">
      <w:start w:val="1"/>
      <w:numFmt w:val="bullet"/>
      <w:lvlText w:val=""/>
      <w:lvlJc w:val="left"/>
      <w:pPr>
        <w:ind w:left="2189" w:hanging="360"/>
      </w:pPr>
      <w:rPr>
        <w:rFonts w:ascii="Wingdings" w:hAnsi="Wingdings" w:hint="default"/>
      </w:rPr>
    </w:lvl>
    <w:lvl w:ilvl="1" w:tplc="04100003" w:tentative="1">
      <w:start w:val="1"/>
      <w:numFmt w:val="bullet"/>
      <w:lvlText w:val="o"/>
      <w:lvlJc w:val="left"/>
      <w:pPr>
        <w:ind w:left="2909" w:hanging="360"/>
      </w:pPr>
      <w:rPr>
        <w:rFonts w:ascii="Courier New" w:hAnsi="Courier New" w:cs="Courier New" w:hint="default"/>
      </w:rPr>
    </w:lvl>
    <w:lvl w:ilvl="2" w:tplc="04100005" w:tentative="1">
      <w:start w:val="1"/>
      <w:numFmt w:val="bullet"/>
      <w:lvlText w:val=""/>
      <w:lvlJc w:val="left"/>
      <w:pPr>
        <w:ind w:left="3629" w:hanging="360"/>
      </w:pPr>
      <w:rPr>
        <w:rFonts w:ascii="Wingdings" w:hAnsi="Wingdings" w:hint="default"/>
      </w:rPr>
    </w:lvl>
    <w:lvl w:ilvl="3" w:tplc="04100001" w:tentative="1">
      <w:start w:val="1"/>
      <w:numFmt w:val="bullet"/>
      <w:lvlText w:val=""/>
      <w:lvlJc w:val="left"/>
      <w:pPr>
        <w:ind w:left="4349" w:hanging="360"/>
      </w:pPr>
      <w:rPr>
        <w:rFonts w:ascii="Symbol" w:hAnsi="Symbol" w:hint="default"/>
      </w:rPr>
    </w:lvl>
    <w:lvl w:ilvl="4" w:tplc="04100003" w:tentative="1">
      <w:start w:val="1"/>
      <w:numFmt w:val="bullet"/>
      <w:lvlText w:val="o"/>
      <w:lvlJc w:val="left"/>
      <w:pPr>
        <w:ind w:left="5069" w:hanging="360"/>
      </w:pPr>
      <w:rPr>
        <w:rFonts w:ascii="Courier New" w:hAnsi="Courier New" w:cs="Courier New" w:hint="default"/>
      </w:rPr>
    </w:lvl>
    <w:lvl w:ilvl="5" w:tplc="04100005" w:tentative="1">
      <w:start w:val="1"/>
      <w:numFmt w:val="bullet"/>
      <w:lvlText w:val=""/>
      <w:lvlJc w:val="left"/>
      <w:pPr>
        <w:ind w:left="5789" w:hanging="360"/>
      </w:pPr>
      <w:rPr>
        <w:rFonts w:ascii="Wingdings" w:hAnsi="Wingdings" w:hint="default"/>
      </w:rPr>
    </w:lvl>
    <w:lvl w:ilvl="6" w:tplc="04100001" w:tentative="1">
      <w:start w:val="1"/>
      <w:numFmt w:val="bullet"/>
      <w:lvlText w:val=""/>
      <w:lvlJc w:val="left"/>
      <w:pPr>
        <w:ind w:left="6509" w:hanging="360"/>
      </w:pPr>
      <w:rPr>
        <w:rFonts w:ascii="Symbol" w:hAnsi="Symbol" w:hint="default"/>
      </w:rPr>
    </w:lvl>
    <w:lvl w:ilvl="7" w:tplc="04100003" w:tentative="1">
      <w:start w:val="1"/>
      <w:numFmt w:val="bullet"/>
      <w:lvlText w:val="o"/>
      <w:lvlJc w:val="left"/>
      <w:pPr>
        <w:ind w:left="7229" w:hanging="360"/>
      </w:pPr>
      <w:rPr>
        <w:rFonts w:ascii="Courier New" w:hAnsi="Courier New" w:cs="Courier New" w:hint="default"/>
      </w:rPr>
    </w:lvl>
    <w:lvl w:ilvl="8" w:tplc="04100005" w:tentative="1">
      <w:start w:val="1"/>
      <w:numFmt w:val="bullet"/>
      <w:lvlText w:val=""/>
      <w:lvlJc w:val="left"/>
      <w:pPr>
        <w:ind w:left="7949" w:hanging="360"/>
      </w:pPr>
      <w:rPr>
        <w:rFonts w:ascii="Wingdings" w:hAnsi="Wingdings" w:hint="default"/>
      </w:rPr>
    </w:lvl>
  </w:abstractNum>
  <w:abstractNum w:abstractNumId="3" w15:restartNumberingAfterBreak="0">
    <w:nsid w:val="515A3C8A"/>
    <w:multiLevelType w:val="multilevel"/>
    <w:tmpl w:val="C562D43A"/>
    <w:lvl w:ilvl="0">
      <w:start w:val="1"/>
      <w:numFmt w:val="upperLetter"/>
      <w:lvlText w:val="%1."/>
      <w:lvlJc w:val="left"/>
      <w:pPr>
        <w:tabs>
          <w:tab w:val="num" w:pos="360"/>
        </w:tabs>
        <w:ind w:left="360" w:hanging="360"/>
      </w:pPr>
      <w:rPr>
        <w:color w:val="auto"/>
      </w:r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firstLine="0"/>
      </w:pPr>
    </w:lvl>
  </w:abstractNum>
  <w:abstractNum w:abstractNumId="4" w15:restartNumberingAfterBreak="0">
    <w:nsid w:val="6F1E2BDF"/>
    <w:multiLevelType w:val="hybridMultilevel"/>
    <w:tmpl w:val="70F87DC6"/>
    <w:lvl w:ilvl="0" w:tplc="0410000D">
      <w:start w:val="1"/>
      <w:numFmt w:val="bullet"/>
      <w:lvlText w:val=""/>
      <w:lvlJc w:val="left"/>
      <w:pPr>
        <w:ind w:left="1469" w:hanging="360"/>
      </w:pPr>
      <w:rPr>
        <w:rFonts w:ascii="Wingdings" w:hAnsi="Wingdings" w:hint="default"/>
      </w:rPr>
    </w:lvl>
    <w:lvl w:ilvl="1" w:tplc="04100003" w:tentative="1">
      <w:start w:val="1"/>
      <w:numFmt w:val="bullet"/>
      <w:lvlText w:val="o"/>
      <w:lvlJc w:val="left"/>
      <w:pPr>
        <w:ind w:left="2189" w:hanging="360"/>
      </w:pPr>
      <w:rPr>
        <w:rFonts w:ascii="Courier New" w:hAnsi="Courier New" w:cs="Courier New" w:hint="default"/>
      </w:rPr>
    </w:lvl>
    <w:lvl w:ilvl="2" w:tplc="04100005" w:tentative="1">
      <w:start w:val="1"/>
      <w:numFmt w:val="bullet"/>
      <w:lvlText w:val=""/>
      <w:lvlJc w:val="left"/>
      <w:pPr>
        <w:ind w:left="2909" w:hanging="360"/>
      </w:pPr>
      <w:rPr>
        <w:rFonts w:ascii="Wingdings" w:hAnsi="Wingdings" w:hint="default"/>
      </w:rPr>
    </w:lvl>
    <w:lvl w:ilvl="3" w:tplc="04100001" w:tentative="1">
      <w:start w:val="1"/>
      <w:numFmt w:val="bullet"/>
      <w:lvlText w:val=""/>
      <w:lvlJc w:val="left"/>
      <w:pPr>
        <w:ind w:left="3629" w:hanging="360"/>
      </w:pPr>
      <w:rPr>
        <w:rFonts w:ascii="Symbol" w:hAnsi="Symbol" w:hint="default"/>
      </w:rPr>
    </w:lvl>
    <w:lvl w:ilvl="4" w:tplc="04100003" w:tentative="1">
      <w:start w:val="1"/>
      <w:numFmt w:val="bullet"/>
      <w:lvlText w:val="o"/>
      <w:lvlJc w:val="left"/>
      <w:pPr>
        <w:ind w:left="4349" w:hanging="360"/>
      </w:pPr>
      <w:rPr>
        <w:rFonts w:ascii="Courier New" w:hAnsi="Courier New" w:cs="Courier New" w:hint="default"/>
      </w:rPr>
    </w:lvl>
    <w:lvl w:ilvl="5" w:tplc="04100005" w:tentative="1">
      <w:start w:val="1"/>
      <w:numFmt w:val="bullet"/>
      <w:lvlText w:val=""/>
      <w:lvlJc w:val="left"/>
      <w:pPr>
        <w:ind w:left="5069" w:hanging="360"/>
      </w:pPr>
      <w:rPr>
        <w:rFonts w:ascii="Wingdings" w:hAnsi="Wingdings" w:hint="default"/>
      </w:rPr>
    </w:lvl>
    <w:lvl w:ilvl="6" w:tplc="04100001" w:tentative="1">
      <w:start w:val="1"/>
      <w:numFmt w:val="bullet"/>
      <w:lvlText w:val=""/>
      <w:lvlJc w:val="left"/>
      <w:pPr>
        <w:ind w:left="5789" w:hanging="360"/>
      </w:pPr>
      <w:rPr>
        <w:rFonts w:ascii="Symbol" w:hAnsi="Symbol" w:hint="default"/>
      </w:rPr>
    </w:lvl>
    <w:lvl w:ilvl="7" w:tplc="04100003" w:tentative="1">
      <w:start w:val="1"/>
      <w:numFmt w:val="bullet"/>
      <w:lvlText w:val="o"/>
      <w:lvlJc w:val="left"/>
      <w:pPr>
        <w:ind w:left="6509" w:hanging="360"/>
      </w:pPr>
      <w:rPr>
        <w:rFonts w:ascii="Courier New" w:hAnsi="Courier New" w:cs="Courier New" w:hint="default"/>
      </w:rPr>
    </w:lvl>
    <w:lvl w:ilvl="8" w:tplc="04100005" w:tentative="1">
      <w:start w:val="1"/>
      <w:numFmt w:val="bullet"/>
      <w:lvlText w:val=""/>
      <w:lvlJc w:val="left"/>
      <w:pPr>
        <w:ind w:left="7229" w:hanging="360"/>
      </w:pPr>
      <w:rPr>
        <w:rFonts w:ascii="Wingdings" w:hAnsi="Wingdings" w:hint="default"/>
      </w:rPr>
    </w:lvl>
  </w:abstractNum>
  <w:num w:numId="1" w16cid:durableId="1552573580">
    <w:abstractNumId w:val="3"/>
  </w:num>
  <w:num w:numId="2" w16cid:durableId="862549451">
    <w:abstractNumId w:val="1"/>
  </w:num>
  <w:num w:numId="3" w16cid:durableId="613097500">
    <w:abstractNumId w:val="0"/>
  </w:num>
  <w:num w:numId="4" w16cid:durableId="768353077">
    <w:abstractNumId w:val="4"/>
  </w:num>
  <w:num w:numId="5" w16cid:durableId="191500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FEA"/>
    <w:rsid w:val="00011339"/>
    <w:rsid w:val="00066D41"/>
    <w:rsid w:val="00084790"/>
    <w:rsid w:val="000B0E9A"/>
    <w:rsid w:val="000B7CB8"/>
    <w:rsid w:val="000C1504"/>
    <w:rsid w:val="000C371F"/>
    <w:rsid w:val="000D5314"/>
    <w:rsid w:val="000F5BF6"/>
    <w:rsid w:val="00113654"/>
    <w:rsid w:val="001321A7"/>
    <w:rsid w:val="00167FEA"/>
    <w:rsid w:val="00181F65"/>
    <w:rsid w:val="00193B7A"/>
    <w:rsid w:val="001C3EFA"/>
    <w:rsid w:val="001E200A"/>
    <w:rsid w:val="001E538C"/>
    <w:rsid w:val="001F4C4E"/>
    <w:rsid w:val="00270100"/>
    <w:rsid w:val="0027396B"/>
    <w:rsid w:val="002D5BF9"/>
    <w:rsid w:val="00324847"/>
    <w:rsid w:val="003526DB"/>
    <w:rsid w:val="00417308"/>
    <w:rsid w:val="00452424"/>
    <w:rsid w:val="004619A1"/>
    <w:rsid w:val="004869E2"/>
    <w:rsid w:val="004B3307"/>
    <w:rsid w:val="004D6CB7"/>
    <w:rsid w:val="004E3FEA"/>
    <w:rsid w:val="004F78F6"/>
    <w:rsid w:val="005148C3"/>
    <w:rsid w:val="005314E6"/>
    <w:rsid w:val="005345A7"/>
    <w:rsid w:val="005850D4"/>
    <w:rsid w:val="005B521A"/>
    <w:rsid w:val="005E04C0"/>
    <w:rsid w:val="005E3451"/>
    <w:rsid w:val="005F5B0C"/>
    <w:rsid w:val="00600B7E"/>
    <w:rsid w:val="00602524"/>
    <w:rsid w:val="006457A5"/>
    <w:rsid w:val="006606B7"/>
    <w:rsid w:val="006626ED"/>
    <w:rsid w:val="00674A85"/>
    <w:rsid w:val="006C139D"/>
    <w:rsid w:val="006C4F57"/>
    <w:rsid w:val="007272BB"/>
    <w:rsid w:val="00727F6D"/>
    <w:rsid w:val="00747FDE"/>
    <w:rsid w:val="00764C40"/>
    <w:rsid w:val="0077435D"/>
    <w:rsid w:val="00782E5B"/>
    <w:rsid w:val="007E3898"/>
    <w:rsid w:val="007F0BC7"/>
    <w:rsid w:val="00851A73"/>
    <w:rsid w:val="00863793"/>
    <w:rsid w:val="00893412"/>
    <w:rsid w:val="0092201A"/>
    <w:rsid w:val="00930972"/>
    <w:rsid w:val="00931D8D"/>
    <w:rsid w:val="009517B8"/>
    <w:rsid w:val="00987C24"/>
    <w:rsid w:val="009B3EC4"/>
    <w:rsid w:val="009C497A"/>
    <w:rsid w:val="009D2F2E"/>
    <w:rsid w:val="00A01D67"/>
    <w:rsid w:val="00A30748"/>
    <w:rsid w:val="00A431C2"/>
    <w:rsid w:val="00A928DF"/>
    <w:rsid w:val="00A93462"/>
    <w:rsid w:val="00AA64A3"/>
    <w:rsid w:val="00AD1A69"/>
    <w:rsid w:val="00AF286D"/>
    <w:rsid w:val="00B14995"/>
    <w:rsid w:val="00B15635"/>
    <w:rsid w:val="00B30EB9"/>
    <w:rsid w:val="00B3568E"/>
    <w:rsid w:val="00B505D1"/>
    <w:rsid w:val="00B91F3C"/>
    <w:rsid w:val="00BC601A"/>
    <w:rsid w:val="00BE32EF"/>
    <w:rsid w:val="00BF1924"/>
    <w:rsid w:val="00C017C6"/>
    <w:rsid w:val="00C037C3"/>
    <w:rsid w:val="00C13E06"/>
    <w:rsid w:val="00C205DD"/>
    <w:rsid w:val="00C5488A"/>
    <w:rsid w:val="00CD5018"/>
    <w:rsid w:val="00CE4B1E"/>
    <w:rsid w:val="00D01B63"/>
    <w:rsid w:val="00D23B67"/>
    <w:rsid w:val="00D2519E"/>
    <w:rsid w:val="00D51A27"/>
    <w:rsid w:val="00DA74D8"/>
    <w:rsid w:val="00DC3EB5"/>
    <w:rsid w:val="00DF2E3B"/>
    <w:rsid w:val="00E5425E"/>
    <w:rsid w:val="00E703E1"/>
    <w:rsid w:val="00E70D36"/>
    <w:rsid w:val="00E70EBB"/>
    <w:rsid w:val="00E8003A"/>
    <w:rsid w:val="00E93B7A"/>
    <w:rsid w:val="00EA2815"/>
    <w:rsid w:val="00EF3010"/>
    <w:rsid w:val="00F070D7"/>
    <w:rsid w:val="00F70C0B"/>
    <w:rsid w:val="00F81E69"/>
    <w:rsid w:val="00FB22A4"/>
    <w:rsid w:val="00FD5F94"/>
    <w:rsid w:val="00FE5393"/>
    <w:rsid w:val="00FF2D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8952"/>
  <w15:docId w15:val="{E27E2536-A312-4E8C-95F6-06C5D977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keepNext/>
      <w:widowControl w:val="0"/>
      <w:pBdr>
        <w:top w:val="nil"/>
        <w:left w:val="nil"/>
        <w:bottom w:val="nil"/>
        <w:right w:val="nil"/>
      </w:pBdr>
      <w:suppressAutoHyphens/>
      <w:spacing w:after="120" w:line="100" w:lineRule="atLeast"/>
      <w:jc w:val="both"/>
    </w:pPr>
    <w:rPr>
      <w:rFonts w:ascii="Times New Roman" w:eastAsia="Times New Roman" w:hAnsi="Times New Roman" w:cs="Cambria"/>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basedOn w:val="Carpredefinitoparagrafo"/>
    <w:rPr>
      <w:position w:val="20"/>
      <w:sz w:val="13"/>
    </w:rPr>
  </w:style>
  <w:style w:type="character" w:customStyle="1" w:styleId="TestonotaapidipaginaCarattere">
    <w:name w:val="Testo nota a piè di pagina Carattere"/>
    <w:basedOn w:val="Carpredefinitoparagrafo"/>
    <w:rPr>
      <w:rFonts w:ascii="Times New Roman" w:eastAsia="Times New Roman" w:hAnsi="Times New Roman" w:cs="Cambria"/>
      <w:sz w:val="20"/>
      <w:szCs w:val="20"/>
      <w:lang w:eastAsia="ar-SA"/>
    </w:rPr>
  </w:style>
  <w:style w:type="character" w:customStyle="1" w:styleId="TestonotaapidipaginaCarattere1">
    <w:name w:val="Testo nota a piè di pagina Carattere1"/>
    <w:basedOn w:val="Carpredefinitoparagrafo"/>
    <w:rPr>
      <w:rFonts w:ascii="Times New Roman" w:eastAsia="Times New Roman" w:hAnsi="Times New Roman" w:cs="Cambria"/>
      <w:sz w:val="24"/>
      <w:szCs w:val="24"/>
      <w:lang w:eastAsia="ar-SA"/>
    </w:rPr>
  </w:style>
  <w:style w:type="character" w:customStyle="1" w:styleId="TestonormaleCarattere">
    <w:name w:val="Testo normale Carattere"/>
    <w:basedOn w:val="Carpredefinitoparagrafo"/>
    <w:rPr>
      <w:rFonts w:ascii="Calibri" w:hAnsi="Calibri"/>
      <w:szCs w:val="21"/>
    </w:rPr>
  </w:style>
  <w:style w:type="character" w:customStyle="1" w:styleId="IntestazioneCarattere">
    <w:name w:val="Intestazione Carattere"/>
    <w:basedOn w:val="Carpredefinitoparagrafo"/>
    <w:rPr>
      <w:rFonts w:ascii="Times New Roman" w:eastAsia="Times New Roman" w:hAnsi="Times New Roman" w:cs="Cambria"/>
      <w:sz w:val="24"/>
      <w:szCs w:val="24"/>
      <w:lang w:eastAsia="ar-SA"/>
    </w:rPr>
  </w:style>
  <w:style w:type="character" w:customStyle="1" w:styleId="PidipaginaCarattere">
    <w:name w:val="Piè di pagina Carattere"/>
    <w:basedOn w:val="Carpredefinitoparagrafo"/>
    <w:rPr>
      <w:rFonts w:ascii="Times New Roman" w:eastAsia="Times New Roman" w:hAnsi="Times New Roman" w:cs="Cambria"/>
      <w:sz w:val="24"/>
      <w:szCs w:val="24"/>
      <w:lang w:eastAsia="ar-SA"/>
    </w:rPr>
  </w:style>
  <w:style w:type="character" w:styleId="Rimandocommento">
    <w:name w:val="annotation reference"/>
    <w:basedOn w:val="Carpredefinitoparagrafo"/>
    <w:rPr>
      <w:sz w:val="16"/>
      <w:szCs w:val="16"/>
    </w:rPr>
  </w:style>
  <w:style w:type="character" w:customStyle="1" w:styleId="TestocommentoCarattere">
    <w:name w:val="Testo commento Carattere"/>
    <w:basedOn w:val="Carpredefinitoparagrafo"/>
    <w:rPr>
      <w:rFonts w:ascii="Times New Roman" w:eastAsia="Times New Roman" w:hAnsi="Times New Roman" w:cs="Cambria"/>
      <w:sz w:val="20"/>
      <w:szCs w:val="20"/>
      <w:lang w:eastAsia="ar-SA"/>
    </w:rPr>
  </w:style>
  <w:style w:type="character" w:customStyle="1" w:styleId="SoggettocommentoCarattere">
    <w:name w:val="Soggetto commento Carattere"/>
    <w:basedOn w:val="TestocommentoCarattere"/>
    <w:rPr>
      <w:rFonts w:ascii="Times New Roman" w:eastAsia="Times New Roman" w:hAnsi="Times New Roman" w:cs="Cambria"/>
      <w:b/>
      <w:bCs/>
      <w:sz w:val="20"/>
      <w:szCs w:val="20"/>
      <w:lang w:eastAsia="ar-SA"/>
    </w:rPr>
  </w:style>
  <w:style w:type="character" w:customStyle="1" w:styleId="TestofumettoCarattere">
    <w:name w:val="Testo fumetto Carattere"/>
    <w:basedOn w:val="Carpredefinitoparagrafo"/>
    <w:rPr>
      <w:rFonts w:ascii="Tahoma" w:eastAsia="Times New Roman" w:hAnsi="Tahoma" w:cs="Tahoma"/>
      <w:sz w:val="16"/>
      <w:szCs w:val="16"/>
      <w:lang w:eastAsia="ar-SA"/>
    </w:rPr>
  </w:style>
  <w:style w:type="character" w:customStyle="1" w:styleId="Caratteredellanota">
    <w:name w:val="Carattere della nota"/>
  </w:style>
  <w:style w:type="character" w:customStyle="1" w:styleId="Richiamoallanotadichiusura">
    <w:name w:val="Richiamo alla nota di chiusura"/>
    <w:rPr>
      <w:vertAlign w:val="superscript"/>
    </w:rPr>
  </w:style>
  <w:style w:type="character" w:customStyle="1" w:styleId="Caratterenotadichiusura">
    <w:name w:val="Carattere nota di chiusura"/>
  </w:style>
  <w:style w:type="paragraph" w:styleId="Testonotaapidipagina">
    <w:name w:val="footnote text"/>
    <w:basedOn w:val="Normale"/>
  </w:style>
  <w:style w:type="paragraph" w:styleId="Paragrafoelenco">
    <w:name w:val="List Paragraph"/>
    <w:basedOn w:val="Normale"/>
    <w:uiPriority w:val="34"/>
    <w:qFormat/>
    <w:pPr>
      <w:ind w:left="357" w:hanging="357"/>
    </w:pPr>
  </w:style>
  <w:style w:type="paragraph" w:styleId="Testonormale">
    <w:name w:val="Plain Text"/>
    <w:basedOn w:val="Normale"/>
    <w:pPr>
      <w:widowControl/>
      <w:spacing w:after="0"/>
      <w:jc w:val="left"/>
    </w:pPr>
    <w:rPr>
      <w:rFonts w:ascii="Calibri" w:eastAsia="Calibri" w:hAnsi="Calibri" w:cs="Times New Roman"/>
      <w:sz w:val="22"/>
      <w:szCs w:val="21"/>
      <w:lang w:eastAsia="en-US"/>
    </w:rPr>
  </w:style>
  <w:style w:type="paragraph" w:styleId="Intestazione">
    <w:name w:val="header"/>
    <w:basedOn w:val="Normale"/>
    <w:pPr>
      <w:tabs>
        <w:tab w:val="center" w:pos="4819"/>
        <w:tab w:val="right" w:pos="9638"/>
      </w:tabs>
      <w:spacing w:after="0"/>
    </w:pPr>
  </w:style>
  <w:style w:type="paragraph" w:styleId="Pidipagina">
    <w:name w:val="footer"/>
    <w:basedOn w:val="Normale"/>
    <w:pPr>
      <w:tabs>
        <w:tab w:val="center" w:pos="4819"/>
        <w:tab w:val="right" w:pos="9638"/>
      </w:tabs>
      <w:spacing w:after="0"/>
    </w:pPr>
  </w:style>
  <w:style w:type="paragraph" w:styleId="Testocommento">
    <w:name w:val="annotation text"/>
    <w:basedOn w:val="Normale"/>
    <w:rPr>
      <w:sz w:val="20"/>
      <w:szCs w:val="20"/>
    </w:rPr>
  </w:style>
  <w:style w:type="paragraph" w:styleId="Soggettocommento">
    <w:name w:val="annotation subject"/>
    <w:basedOn w:val="Testocommento"/>
    <w:next w:val="Testocommento"/>
    <w:rPr>
      <w:b/>
      <w:bCs/>
    </w:rPr>
  </w:style>
  <w:style w:type="paragraph" w:styleId="Testofumetto">
    <w:name w:val="Balloon Text"/>
    <w:basedOn w:val="Normale"/>
    <w:pPr>
      <w:spacing w:after="0"/>
    </w:pPr>
    <w:rPr>
      <w:rFonts w:ascii="Tahoma" w:hAnsi="Tahoma" w:cs="Tahoma"/>
      <w:sz w:val="16"/>
      <w:szCs w:val="16"/>
    </w:rPr>
  </w:style>
  <w:style w:type="paragraph" w:customStyle="1" w:styleId="Notaapidipagina">
    <w:name w:val="Nota a piè di pagina"/>
    <w:basedOn w:val="Normale"/>
    <w:pPr>
      <w:suppressLineNumbers/>
      <w:ind w:left="339" w:hanging="339"/>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3534">
      <w:bodyDiv w:val="1"/>
      <w:marLeft w:val="0"/>
      <w:marRight w:val="0"/>
      <w:marTop w:val="0"/>
      <w:marBottom w:val="0"/>
      <w:divBdr>
        <w:top w:val="none" w:sz="0" w:space="0" w:color="auto"/>
        <w:left w:val="none" w:sz="0" w:space="0" w:color="auto"/>
        <w:bottom w:val="none" w:sz="0" w:space="0" w:color="auto"/>
        <w:right w:val="none" w:sz="0" w:space="0" w:color="auto"/>
      </w:divBdr>
    </w:div>
    <w:div w:id="1821312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8B14F-469C-4487-8B73-FAB3F077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321</Words>
  <Characters>1833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Rossella Picicci</dc:creator>
  <cp:lastModifiedBy>Collegio Geometri PIACENZA</cp:lastModifiedBy>
  <cp:revision>11</cp:revision>
  <cp:lastPrinted>2023-06-27T09:25:00Z</cp:lastPrinted>
  <dcterms:created xsi:type="dcterms:W3CDTF">2023-06-27T08:36:00Z</dcterms:created>
  <dcterms:modified xsi:type="dcterms:W3CDTF">2023-06-30T08:03:00Z</dcterms:modified>
</cp:coreProperties>
</file>