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D1420" w14:textId="77777777" w:rsidR="00680057" w:rsidRPr="00951234" w:rsidRDefault="00680057" w:rsidP="00680057">
      <w:pPr>
        <w:pStyle w:val="Paragrafoelenco"/>
        <w:ind w:left="0" w:firstLine="0"/>
        <w:rPr>
          <w:rFonts w:ascii="Titillium" w:hAnsi="Titillium"/>
        </w:rPr>
      </w:pPr>
    </w:p>
    <w:p w14:paraId="791B04A8" w14:textId="60B67602" w:rsidR="00680057" w:rsidRPr="00951234" w:rsidRDefault="00680057" w:rsidP="00680057">
      <w:pPr>
        <w:pStyle w:val="Paragrafoelenco"/>
        <w:spacing w:line="360" w:lineRule="auto"/>
        <w:ind w:left="0" w:firstLine="0"/>
        <w:rPr>
          <w:rFonts w:ascii="Titillium" w:hAnsi="Titillium"/>
        </w:rPr>
      </w:pPr>
    </w:p>
    <w:p w14:paraId="1238D202" w14:textId="758AAE47" w:rsidR="00680057" w:rsidRPr="00951234" w:rsidRDefault="00680057">
      <w:pPr>
        <w:rPr>
          <w:sz w:val="24"/>
          <w:szCs w:val="24"/>
        </w:rPr>
      </w:pPr>
    </w:p>
    <w:p w14:paraId="3B38EBF7" w14:textId="11C131A2" w:rsidR="00951234" w:rsidRPr="00951234" w:rsidRDefault="00951234">
      <w:pPr>
        <w:rPr>
          <w:sz w:val="24"/>
          <w:szCs w:val="24"/>
        </w:rPr>
      </w:pPr>
    </w:p>
    <w:p w14:paraId="3B99D198" w14:textId="170A8179" w:rsidR="00951234" w:rsidRPr="00951234" w:rsidRDefault="00951234">
      <w:pPr>
        <w:rPr>
          <w:sz w:val="24"/>
          <w:szCs w:val="24"/>
        </w:rPr>
      </w:pPr>
    </w:p>
    <w:p w14:paraId="0915BCDA" w14:textId="21FAAC06" w:rsidR="00951234" w:rsidRPr="00951234" w:rsidRDefault="00951234">
      <w:pPr>
        <w:rPr>
          <w:sz w:val="24"/>
          <w:szCs w:val="24"/>
        </w:rPr>
      </w:pPr>
    </w:p>
    <w:p w14:paraId="1598E034" w14:textId="7FDE819D" w:rsidR="00951234" w:rsidRPr="00951234" w:rsidRDefault="002024D8" w:rsidP="00F12FE8">
      <w:pPr>
        <w:rPr>
          <w:b/>
          <w:bCs/>
          <w:sz w:val="24"/>
          <w:szCs w:val="24"/>
        </w:rPr>
      </w:pPr>
      <w:r>
        <w:rPr>
          <w:rFonts w:ascii="Titillium" w:hAnsi="Titillium"/>
          <w:b/>
          <w:bCs/>
          <w:sz w:val="24"/>
          <w:szCs w:val="24"/>
        </w:rPr>
        <w:t xml:space="preserve">OGGETTO: </w:t>
      </w:r>
      <w:r w:rsidR="00951234" w:rsidRPr="00951234">
        <w:rPr>
          <w:rFonts w:ascii="Titillium" w:hAnsi="Titillium"/>
          <w:b/>
          <w:bCs/>
          <w:sz w:val="24"/>
          <w:szCs w:val="24"/>
        </w:rPr>
        <w:t xml:space="preserve">Scheda di sintesi sulla rilevazione </w:t>
      </w:r>
      <w:r>
        <w:rPr>
          <w:rFonts w:ascii="Titillium" w:hAnsi="Titillium"/>
          <w:b/>
          <w:bCs/>
          <w:sz w:val="24"/>
          <w:szCs w:val="24"/>
        </w:rPr>
        <w:t>del RPCT</w:t>
      </w:r>
    </w:p>
    <w:p w14:paraId="71C7A9DD" w14:textId="13CC8849" w:rsidR="00951234" w:rsidRPr="00951234" w:rsidRDefault="00951234" w:rsidP="00951234">
      <w:pPr>
        <w:jc w:val="both"/>
        <w:rPr>
          <w:sz w:val="24"/>
          <w:szCs w:val="24"/>
        </w:rPr>
      </w:pPr>
    </w:p>
    <w:p w14:paraId="54328BBC" w14:textId="41260085" w:rsidR="00620D53" w:rsidRP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  <w:b/>
          <w:bCs/>
          <w:i/>
          <w:iCs/>
        </w:rPr>
      </w:pPr>
      <w:r w:rsidRPr="00620D53">
        <w:rPr>
          <w:rFonts w:ascii="Titillium" w:hAnsi="Titillium"/>
          <w:b/>
          <w:bCs/>
          <w:i/>
          <w:iCs/>
        </w:rPr>
        <w:t>Esecutore</w:t>
      </w:r>
    </w:p>
    <w:p w14:paraId="0A4D6384" w14:textId="51F01AA0" w:rsid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</w:rPr>
      </w:pPr>
      <w:r>
        <w:rPr>
          <w:rFonts w:ascii="Titillium" w:hAnsi="Titillium"/>
        </w:rPr>
        <w:t xml:space="preserve">Geom. Lisa Draghi </w:t>
      </w:r>
      <w:r w:rsidRPr="00951234">
        <w:rPr>
          <w:rFonts w:ascii="Titillium" w:hAnsi="Titillium"/>
        </w:rPr>
        <w:t>Responsabile per la Prevenzione alla Corruzione e per la Trasparenza del Collegio Geometri e Geometri Laureati della Provincia di Piacenza</w:t>
      </w:r>
      <w:r>
        <w:rPr>
          <w:rFonts w:ascii="Titillium" w:hAnsi="Titillium"/>
        </w:rPr>
        <w:t>.</w:t>
      </w:r>
    </w:p>
    <w:p w14:paraId="6D72A836" w14:textId="77777777" w:rsid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</w:rPr>
      </w:pPr>
    </w:p>
    <w:p w14:paraId="7D624596" w14:textId="1014DECB" w:rsidR="00620D53" w:rsidRP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  <w:b/>
          <w:bCs/>
          <w:i/>
          <w:iCs/>
        </w:rPr>
      </w:pPr>
      <w:r w:rsidRPr="00620D53">
        <w:rPr>
          <w:rFonts w:ascii="Titillium" w:hAnsi="Titillium"/>
          <w:b/>
          <w:bCs/>
          <w:i/>
          <w:iCs/>
        </w:rPr>
        <w:t>Data di svolgimento della rilevazione</w:t>
      </w:r>
    </w:p>
    <w:p w14:paraId="7D46EBE8" w14:textId="68679E6B" w:rsidR="00951234" w:rsidRDefault="00F12FE8" w:rsidP="00951234">
      <w:pPr>
        <w:pStyle w:val="Paragrafoelenco"/>
        <w:spacing w:after="0" w:line="276" w:lineRule="auto"/>
        <w:ind w:left="0" w:firstLine="0"/>
        <w:rPr>
          <w:rFonts w:ascii="Titillium" w:hAnsi="Titillium"/>
        </w:rPr>
      </w:pPr>
      <w:r>
        <w:rPr>
          <w:rFonts w:ascii="Titillium" w:hAnsi="Titillium"/>
        </w:rPr>
        <w:t xml:space="preserve">29 e 30 </w:t>
      </w:r>
      <w:r w:rsidR="00620D53">
        <w:rPr>
          <w:rFonts w:ascii="Titillium" w:hAnsi="Titillium"/>
        </w:rPr>
        <w:t>giugno 2023</w:t>
      </w:r>
    </w:p>
    <w:p w14:paraId="1D802E42" w14:textId="77777777" w:rsid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</w:rPr>
      </w:pPr>
    </w:p>
    <w:p w14:paraId="2A56E705" w14:textId="62E97990" w:rsidR="00620D53" w:rsidRPr="00620D53" w:rsidRDefault="00620D53" w:rsidP="00951234">
      <w:pPr>
        <w:pStyle w:val="Paragrafoelenco"/>
        <w:spacing w:after="0" w:line="276" w:lineRule="auto"/>
        <w:ind w:left="0" w:firstLine="0"/>
        <w:rPr>
          <w:rFonts w:ascii="Titillium" w:hAnsi="Titillium"/>
          <w:b/>
          <w:bCs/>
          <w:i/>
          <w:iCs/>
        </w:rPr>
      </w:pPr>
      <w:r w:rsidRPr="00620D53">
        <w:rPr>
          <w:rFonts w:ascii="Titillium" w:hAnsi="Titillium"/>
          <w:b/>
          <w:bCs/>
          <w:i/>
          <w:iCs/>
        </w:rPr>
        <w:t>Estensione della rilevazione (nel solo caso di amministrazioni/enti con uffici periferici)</w:t>
      </w:r>
    </w:p>
    <w:p w14:paraId="24D51AA5" w14:textId="4BA01628" w:rsidR="00951234" w:rsidRDefault="00951234" w:rsidP="00951234">
      <w:pPr>
        <w:pStyle w:val="Paragrafoelenco"/>
        <w:spacing w:line="240" w:lineRule="auto"/>
        <w:ind w:left="0" w:firstLine="0"/>
        <w:rPr>
          <w:rFonts w:ascii="Titillium" w:hAnsi="Titillium"/>
        </w:rPr>
      </w:pPr>
      <w:r w:rsidRPr="00951234">
        <w:rPr>
          <w:rFonts w:ascii="Titillium" w:hAnsi="Titillium"/>
        </w:rPr>
        <w:t>Le rilevazioni hanno avuto luogo presso la sede unica</w:t>
      </w:r>
      <w:r w:rsidR="002024D8">
        <w:rPr>
          <w:rFonts w:ascii="Titillium" w:hAnsi="Titillium"/>
        </w:rPr>
        <w:t xml:space="preserve"> del Collegio Geometri</w:t>
      </w:r>
      <w:r w:rsidRPr="00951234">
        <w:rPr>
          <w:rFonts w:ascii="Titillium" w:hAnsi="Titillium"/>
        </w:rPr>
        <w:t xml:space="preserve"> (</w:t>
      </w:r>
      <w:r w:rsidR="00D4415D">
        <w:rPr>
          <w:rFonts w:ascii="Titillium" w:hAnsi="Titillium"/>
        </w:rPr>
        <w:t>in assenza di</w:t>
      </w:r>
      <w:r w:rsidRPr="00951234">
        <w:rPr>
          <w:rFonts w:ascii="Titillium" w:hAnsi="Titillium"/>
        </w:rPr>
        <w:t xml:space="preserve"> uffici periferici) di Strada Farnesiana, 104 – Piacenza.</w:t>
      </w:r>
    </w:p>
    <w:p w14:paraId="66C084F6" w14:textId="77777777" w:rsidR="00620D53" w:rsidRDefault="00620D53" w:rsidP="00951234">
      <w:pPr>
        <w:pStyle w:val="Paragrafoelenco"/>
        <w:spacing w:line="240" w:lineRule="auto"/>
        <w:ind w:left="0" w:firstLine="0"/>
        <w:rPr>
          <w:rFonts w:ascii="Titillium" w:hAnsi="Titillium"/>
        </w:rPr>
      </w:pPr>
    </w:p>
    <w:p w14:paraId="295CB13F" w14:textId="311334F9" w:rsidR="00620D53" w:rsidRPr="00620D53" w:rsidRDefault="00620D53" w:rsidP="00951234">
      <w:pPr>
        <w:pStyle w:val="Paragrafoelenco"/>
        <w:spacing w:line="240" w:lineRule="auto"/>
        <w:ind w:left="0" w:firstLine="0"/>
        <w:rPr>
          <w:rFonts w:ascii="Titillium" w:hAnsi="Titillium"/>
          <w:b/>
          <w:bCs/>
          <w:i/>
          <w:iCs/>
        </w:rPr>
      </w:pPr>
      <w:r w:rsidRPr="00620D53">
        <w:rPr>
          <w:rFonts w:ascii="Titillium" w:hAnsi="Titillium"/>
          <w:b/>
          <w:bCs/>
          <w:i/>
          <w:iCs/>
        </w:rPr>
        <w:t>Procedure e modalità seguite per la rilevazione</w:t>
      </w:r>
    </w:p>
    <w:p w14:paraId="28951BE2" w14:textId="64E106EA" w:rsidR="00951234" w:rsidRDefault="00620D53" w:rsidP="00620D53">
      <w:pPr>
        <w:pStyle w:val="Paragrafoelenco"/>
        <w:numPr>
          <w:ilvl w:val="0"/>
          <w:numId w:val="2"/>
        </w:numPr>
        <w:rPr>
          <w:rFonts w:ascii="Titillium" w:hAnsi="Titillium"/>
        </w:rPr>
      </w:pPr>
      <w:r>
        <w:rPr>
          <w:rFonts w:ascii="Titillium" w:hAnsi="Titillium"/>
        </w:rPr>
        <w:t>Esame della documentazione relativa ai dati oggetto di attestazione;</w:t>
      </w:r>
    </w:p>
    <w:p w14:paraId="6BBFE839" w14:textId="3FE1AF8B" w:rsidR="00620D53" w:rsidRDefault="00620D53" w:rsidP="00620D53">
      <w:pPr>
        <w:pStyle w:val="Paragrafoelenco"/>
        <w:numPr>
          <w:ilvl w:val="0"/>
          <w:numId w:val="2"/>
        </w:numPr>
        <w:rPr>
          <w:rFonts w:ascii="Titillium" w:hAnsi="Titillium"/>
        </w:rPr>
      </w:pPr>
      <w:r>
        <w:rPr>
          <w:rFonts w:ascii="Titillium" w:hAnsi="Titillium"/>
        </w:rPr>
        <w:t>Colloqui con addetti alla trasmissione dei dati;</w:t>
      </w:r>
    </w:p>
    <w:p w14:paraId="4BEBA4CC" w14:textId="4CAF6FBC" w:rsidR="00620D53" w:rsidRDefault="00620D53" w:rsidP="00620D53">
      <w:pPr>
        <w:pStyle w:val="Paragrafoelenco"/>
        <w:numPr>
          <w:ilvl w:val="0"/>
          <w:numId w:val="2"/>
        </w:numPr>
        <w:rPr>
          <w:rFonts w:ascii="Titillium" w:hAnsi="Titillium"/>
        </w:rPr>
      </w:pPr>
      <w:r>
        <w:rPr>
          <w:rFonts w:ascii="Titillium" w:hAnsi="Titillium"/>
        </w:rPr>
        <w:t>Colloqui con addetti alla pubblicazione dei dati;</w:t>
      </w:r>
    </w:p>
    <w:p w14:paraId="1F904772" w14:textId="75CDBB0F" w:rsidR="00620D53" w:rsidRDefault="00620D53" w:rsidP="00620D53">
      <w:pPr>
        <w:pStyle w:val="Paragrafoelenco"/>
        <w:numPr>
          <w:ilvl w:val="0"/>
          <w:numId w:val="2"/>
        </w:numPr>
        <w:rPr>
          <w:rFonts w:ascii="Titillium" w:hAnsi="Titillium"/>
        </w:rPr>
      </w:pPr>
      <w:r>
        <w:rPr>
          <w:rFonts w:ascii="Titillium" w:hAnsi="Titillium"/>
        </w:rPr>
        <w:t xml:space="preserve">Verifica diretta sul sito istituzionale, anche </w:t>
      </w:r>
      <w:r w:rsidR="004D162F">
        <w:rPr>
          <w:rFonts w:ascii="Titillium" w:hAnsi="Titillium"/>
        </w:rPr>
        <w:t>mediante</w:t>
      </w:r>
      <w:r>
        <w:rPr>
          <w:rFonts w:ascii="Titillium" w:hAnsi="Titillium"/>
        </w:rPr>
        <w:t xml:space="preserve"> l’utilizzo di supporto informatico.</w:t>
      </w:r>
    </w:p>
    <w:p w14:paraId="1CED159D" w14:textId="77777777" w:rsidR="00620D53" w:rsidRDefault="00620D53" w:rsidP="00620D53">
      <w:pPr>
        <w:rPr>
          <w:rFonts w:ascii="Titillium" w:hAnsi="Titillium"/>
        </w:rPr>
      </w:pPr>
    </w:p>
    <w:p w14:paraId="2207913A" w14:textId="1D7EA64F" w:rsidR="00620D53" w:rsidRPr="00130A91" w:rsidRDefault="00620D53" w:rsidP="00620D53">
      <w:pPr>
        <w:rPr>
          <w:rFonts w:ascii="Titillium" w:hAnsi="Titillium"/>
          <w:b/>
          <w:bCs/>
          <w:i/>
          <w:iCs/>
          <w:sz w:val="24"/>
          <w:szCs w:val="24"/>
        </w:rPr>
      </w:pPr>
      <w:r w:rsidRPr="00130A91">
        <w:rPr>
          <w:rFonts w:ascii="Titillium" w:hAnsi="Titillium"/>
          <w:b/>
          <w:bCs/>
          <w:i/>
          <w:iCs/>
          <w:sz w:val="24"/>
          <w:szCs w:val="24"/>
        </w:rPr>
        <w:t>Aspetti critici riscontrati nel corso della rilevazione</w:t>
      </w:r>
    </w:p>
    <w:p w14:paraId="1BB9F98A" w14:textId="320F9A41" w:rsidR="00620D53" w:rsidRPr="00620D53" w:rsidRDefault="00620D53" w:rsidP="00620D53">
      <w:pPr>
        <w:pStyle w:val="Paragrafoelenco"/>
        <w:numPr>
          <w:ilvl w:val="0"/>
          <w:numId w:val="2"/>
        </w:numPr>
        <w:rPr>
          <w:rFonts w:ascii="Titillium" w:hAnsi="Titillium"/>
        </w:rPr>
      </w:pPr>
      <w:r>
        <w:rPr>
          <w:rFonts w:ascii="Titillium" w:hAnsi="Titillium"/>
        </w:rPr>
        <w:t>Documentazione pubblicata non sempre conforme ai requisiti di apertura ed elaborazione.</w:t>
      </w:r>
    </w:p>
    <w:p w14:paraId="2FDC8203" w14:textId="3974746C" w:rsidR="001D2F76" w:rsidRDefault="001D2F76" w:rsidP="00951234">
      <w:pPr>
        <w:jc w:val="both"/>
        <w:rPr>
          <w:rFonts w:ascii="Titillium" w:hAnsi="Titillium"/>
          <w:sz w:val="24"/>
          <w:szCs w:val="24"/>
        </w:rPr>
      </w:pPr>
    </w:p>
    <w:p w14:paraId="154D65A7" w14:textId="77777777" w:rsidR="001D2F76" w:rsidRDefault="001D2F76" w:rsidP="00951234">
      <w:pPr>
        <w:jc w:val="both"/>
        <w:rPr>
          <w:rFonts w:ascii="Titillium" w:hAnsi="Titillium"/>
          <w:sz w:val="24"/>
          <w:szCs w:val="24"/>
        </w:rPr>
      </w:pPr>
    </w:p>
    <w:p w14:paraId="29D0107F" w14:textId="3EB521EF" w:rsidR="001D2F76" w:rsidRDefault="001D2F76" w:rsidP="00951234">
      <w:pPr>
        <w:jc w:val="both"/>
        <w:rPr>
          <w:rFonts w:ascii="Titillium" w:hAnsi="Titillium"/>
          <w:sz w:val="24"/>
          <w:szCs w:val="24"/>
        </w:rPr>
      </w:pPr>
      <w:r>
        <w:rPr>
          <w:rFonts w:ascii="Titillium" w:hAnsi="Titillium"/>
          <w:sz w:val="24"/>
          <w:szCs w:val="24"/>
        </w:rPr>
        <w:t>Piacenza,</w:t>
      </w:r>
      <w:r w:rsidR="00620D53">
        <w:rPr>
          <w:rFonts w:ascii="Titillium" w:hAnsi="Titillium"/>
          <w:sz w:val="24"/>
          <w:szCs w:val="24"/>
        </w:rPr>
        <w:t xml:space="preserve"> 30 Giugno 2023</w:t>
      </w:r>
    </w:p>
    <w:p w14:paraId="0F1D8F3B" w14:textId="77777777" w:rsidR="001D2F76" w:rsidRDefault="001D2F76" w:rsidP="00951234">
      <w:pPr>
        <w:jc w:val="both"/>
        <w:rPr>
          <w:rFonts w:ascii="Titillium" w:hAnsi="Titillium"/>
          <w:sz w:val="24"/>
          <w:szCs w:val="24"/>
        </w:rPr>
      </w:pPr>
    </w:p>
    <w:p w14:paraId="251B7C64" w14:textId="77777777" w:rsidR="001D2F76" w:rsidRDefault="001D2F76" w:rsidP="001D2F76">
      <w:pPr>
        <w:jc w:val="right"/>
        <w:rPr>
          <w:rFonts w:ascii="Titillium" w:hAnsi="Titillium"/>
          <w:sz w:val="24"/>
          <w:szCs w:val="24"/>
        </w:rPr>
      </w:pPr>
      <w:r>
        <w:rPr>
          <w:rFonts w:ascii="Titillium" w:hAnsi="Titillium"/>
          <w:sz w:val="24"/>
          <w:szCs w:val="24"/>
        </w:rPr>
        <w:t>Firma RPCT</w:t>
      </w:r>
      <w:r>
        <w:rPr>
          <w:rFonts w:ascii="Titillium" w:hAnsi="Titillium"/>
          <w:sz w:val="24"/>
          <w:szCs w:val="24"/>
        </w:rPr>
        <w:tab/>
      </w:r>
      <w:r>
        <w:rPr>
          <w:rFonts w:ascii="Titillium" w:hAnsi="Titillium"/>
          <w:sz w:val="24"/>
          <w:szCs w:val="24"/>
        </w:rPr>
        <w:tab/>
      </w:r>
      <w:r>
        <w:rPr>
          <w:rFonts w:ascii="Titillium" w:hAnsi="Titillium"/>
          <w:sz w:val="24"/>
          <w:szCs w:val="24"/>
        </w:rPr>
        <w:tab/>
      </w:r>
    </w:p>
    <w:p w14:paraId="43A32A14" w14:textId="579FC3B8" w:rsidR="001D2F76" w:rsidRPr="001D2F76" w:rsidRDefault="001D2F76" w:rsidP="001D2F76">
      <w:pPr>
        <w:jc w:val="right"/>
        <w:rPr>
          <w:rFonts w:ascii="Titillium" w:hAnsi="Titillium"/>
          <w:sz w:val="24"/>
          <w:szCs w:val="24"/>
        </w:rPr>
      </w:pPr>
      <w:r>
        <w:rPr>
          <w:rFonts w:ascii="Titillium" w:hAnsi="Titillium"/>
          <w:sz w:val="24"/>
          <w:szCs w:val="24"/>
        </w:rPr>
        <w:tab/>
        <w:t xml:space="preserve">  </w:t>
      </w:r>
      <w:r w:rsidR="00620D53">
        <w:rPr>
          <w:rFonts w:ascii="Titillium" w:hAnsi="Titillium"/>
          <w:sz w:val="24"/>
          <w:szCs w:val="24"/>
        </w:rPr>
        <w:t xml:space="preserve">  </w:t>
      </w:r>
      <w:r>
        <w:rPr>
          <w:rFonts w:ascii="Titillium" w:hAnsi="Titillium"/>
          <w:sz w:val="24"/>
          <w:szCs w:val="24"/>
        </w:rPr>
        <w:t xml:space="preserve">   (Geom. </w:t>
      </w:r>
      <w:r w:rsidR="00620D53">
        <w:rPr>
          <w:rFonts w:ascii="Titillium" w:hAnsi="Titillium"/>
          <w:sz w:val="24"/>
          <w:szCs w:val="24"/>
        </w:rPr>
        <w:t>Lisa Draghi)</w:t>
      </w:r>
      <w:r>
        <w:rPr>
          <w:rFonts w:ascii="Titillium" w:hAnsi="Titillium"/>
          <w:sz w:val="24"/>
          <w:szCs w:val="24"/>
        </w:rPr>
        <w:tab/>
      </w:r>
      <w:r>
        <w:rPr>
          <w:rFonts w:ascii="Titillium" w:hAnsi="Titillium"/>
          <w:sz w:val="24"/>
          <w:szCs w:val="24"/>
        </w:rPr>
        <w:tab/>
        <w:t xml:space="preserve">            </w:t>
      </w:r>
    </w:p>
    <w:sectPr w:rsidR="001D2F76" w:rsidRPr="001D2F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89009ED"/>
    <w:multiLevelType w:val="hybridMultilevel"/>
    <w:tmpl w:val="F08CBBDE"/>
    <w:lvl w:ilvl="0" w:tplc="A91284B8">
      <w:start w:val="29"/>
      <w:numFmt w:val="bullet"/>
      <w:lvlText w:val="-"/>
      <w:lvlJc w:val="left"/>
      <w:pPr>
        <w:ind w:left="720" w:hanging="360"/>
      </w:pPr>
      <w:rPr>
        <w:rFonts w:ascii="Titillium" w:eastAsiaTheme="minorHAnsi" w:hAnsi="Titill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6683974">
    <w:abstractNumId w:val="0"/>
  </w:num>
  <w:num w:numId="2" w16cid:durableId="1809283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057"/>
    <w:rsid w:val="00130A91"/>
    <w:rsid w:val="001D2F76"/>
    <w:rsid w:val="002024D8"/>
    <w:rsid w:val="002D0D2F"/>
    <w:rsid w:val="004D162F"/>
    <w:rsid w:val="00620D53"/>
    <w:rsid w:val="00680057"/>
    <w:rsid w:val="00951234"/>
    <w:rsid w:val="00CC3ED6"/>
    <w:rsid w:val="00D4415D"/>
    <w:rsid w:val="00F1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01900"/>
  <w15:chartTrackingRefBased/>
  <w15:docId w15:val="{65B09C9A-63D5-4A61-BBBF-0AFCF071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680057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ind w:left="357" w:hanging="357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paragraph" w:styleId="Titolo">
    <w:name w:val="Title"/>
    <w:basedOn w:val="Normale"/>
    <w:next w:val="Normale"/>
    <w:link w:val="TitoloCarattere"/>
    <w:autoRedefine/>
    <w:rsid w:val="00680057"/>
    <w:pPr>
      <w:keepNext/>
      <w:widowControl w:val="0"/>
      <w:numPr>
        <w:numId w:val="1"/>
      </w:numPr>
      <w:pBdr>
        <w:top w:val="nil"/>
        <w:left w:val="nil"/>
        <w:bottom w:val="nil"/>
        <w:right w:val="nil"/>
      </w:pBdr>
      <w:suppressAutoHyphens/>
      <w:spacing w:before="240" w:after="240" w:line="100" w:lineRule="atLeast"/>
      <w:jc w:val="center"/>
      <w:outlineLvl w:val="0"/>
    </w:pPr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680057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6</cp:revision>
  <dcterms:created xsi:type="dcterms:W3CDTF">2023-06-29T09:41:00Z</dcterms:created>
  <dcterms:modified xsi:type="dcterms:W3CDTF">2023-06-30T10:11:00Z</dcterms:modified>
</cp:coreProperties>
</file>