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15E29" w14:textId="77777777" w:rsidR="00117C81" w:rsidRPr="00853781" w:rsidRDefault="00117C81" w:rsidP="00117C81">
      <w:pPr>
        <w:spacing w:after="0" w:line="240" w:lineRule="auto"/>
        <w:jc w:val="center"/>
        <w:rPr>
          <w:rFonts w:eastAsia="Calibri" w:cstheme="minorHAnsi"/>
          <w:b/>
          <w:smallCaps/>
          <w:color w:val="002060"/>
          <w:sz w:val="44"/>
          <w:szCs w:val="44"/>
          <w:lang w:eastAsia="it-IT"/>
        </w:rPr>
      </w:pPr>
      <w:bookmarkStart w:id="0" w:name="_Hlk93050140"/>
      <w:r w:rsidRPr="00853781">
        <w:rPr>
          <w:rFonts w:eastAsia="Calibri" w:cstheme="minorHAnsi"/>
          <w:b/>
          <w:smallCaps/>
          <w:color w:val="002060"/>
          <w:sz w:val="44"/>
          <w:szCs w:val="44"/>
          <w:lang w:eastAsia="it-IT"/>
        </w:rPr>
        <w:t xml:space="preserve">Collegio dei Geometri e dei Geometri Laureati della Provincia di </w:t>
      </w:r>
      <w:r w:rsidRPr="00853781">
        <w:rPr>
          <w:rFonts w:eastAsia="Garamond" w:cstheme="minorHAnsi"/>
          <w:noProof/>
          <w:color w:val="002060"/>
          <w:sz w:val="24"/>
          <w:szCs w:val="24"/>
          <w:lang w:eastAsia="it-IT"/>
        </w:rPr>
        <w:drawing>
          <wp:anchor distT="0" distB="0" distL="114300" distR="114300" simplePos="0" relativeHeight="251657216" behindDoc="0" locked="0" layoutInCell="1" hidden="0" allowOverlap="1" wp14:anchorId="68073608" wp14:editId="510012F7">
            <wp:simplePos x="0" y="0"/>
            <wp:positionH relativeFrom="column">
              <wp:posOffset>371171</wp:posOffset>
            </wp:positionH>
            <wp:positionV relativeFrom="paragraph">
              <wp:posOffset>635</wp:posOffset>
            </wp:positionV>
            <wp:extent cx="699135" cy="728980"/>
            <wp:effectExtent l="0" t="0" r="0" b="0"/>
            <wp:wrapSquare wrapText="bothSides" distT="0" distB="0" distL="114300" distR="114300"/>
            <wp:docPr id="2" name="image1.jp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1.jpg">
                      <a:extLst>
                        <a:ext uri="{C183D7F6-B498-43B3-948B-1728B52AA6E4}">
                          <adec:decorative xmlns:adec="http://schemas.microsoft.com/office/drawing/2017/decorative" val="1"/>
                        </a:ext>
                      </a:extLst>
                    </pic:cNvPr>
                    <pic:cNvPicPr preferRelativeResize="0"/>
                  </pic:nvPicPr>
                  <pic:blipFill>
                    <a:blip r:embed="rId8"/>
                    <a:srcRect r="79057"/>
                    <a:stretch>
                      <a:fillRect/>
                    </a:stretch>
                  </pic:blipFill>
                  <pic:spPr>
                    <a:xfrm>
                      <a:off x="0" y="0"/>
                      <a:ext cx="699135" cy="728980"/>
                    </a:xfrm>
                    <a:prstGeom prst="rect">
                      <a:avLst/>
                    </a:prstGeom>
                    <a:ln/>
                  </pic:spPr>
                </pic:pic>
              </a:graphicData>
            </a:graphic>
          </wp:anchor>
        </w:drawing>
      </w:r>
      <w:r w:rsidRPr="00853781">
        <w:rPr>
          <w:rFonts w:eastAsia="Calibri" w:cstheme="minorHAnsi"/>
          <w:b/>
          <w:smallCaps/>
          <w:color w:val="002060"/>
          <w:sz w:val="44"/>
          <w:szCs w:val="44"/>
          <w:lang w:eastAsia="it-IT"/>
        </w:rPr>
        <w:t>PIACENZA</w:t>
      </w:r>
    </w:p>
    <w:bookmarkEnd w:id="0"/>
    <w:p w14:paraId="2136105B" w14:textId="77777777" w:rsidR="00117C81" w:rsidRPr="00853781" w:rsidRDefault="00117C81" w:rsidP="00117C81">
      <w:pPr>
        <w:spacing w:after="120" w:line="240" w:lineRule="auto"/>
        <w:jc w:val="center"/>
        <w:rPr>
          <w:rFonts w:eastAsia="Calibri" w:cstheme="minorHAnsi"/>
          <w:color w:val="002060"/>
          <w:sz w:val="40"/>
          <w:szCs w:val="40"/>
          <w:lang w:eastAsia="it-IT"/>
        </w:rPr>
      </w:pPr>
    </w:p>
    <w:p w14:paraId="321E3526" w14:textId="77777777" w:rsidR="00117C81" w:rsidRPr="00853781" w:rsidRDefault="00117C81" w:rsidP="00117C81">
      <w:pPr>
        <w:spacing w:after="120" w:line="240" w:lineRule="auto"/>
        <w:jc w:val="center"/>
        <w:rPr>
          <w:rFonts w:eastAsia="Calibri" w:cstheme="minorHAnsi"/>
          <w:color w:val="002060"/>
          <w:sz w:val="40"/>
          <w:szCs w:val="40"/>
          <w:lang w:eastAsia="it-IT"/>
        </w:rPr>
      </w:pPr>
    </w:p>
    <w:p w14:paraId="4BE9AE39" w14:textId="77777777" w:rsidR="00117C81" w:rsidRPr="00853781" w:rsidRDefault="00117C81" w:rsidP="00117C81">
      <w:pPr>
        <w:spacing w:after="120" w:line="240" w:lineRule="auto"/>
        <w:jc w:val="center"/>
        <w:rPr>
          <w:rFonts w:eastAsia="Calibri" w:cstheme="minorHAnsi"/>
          <w:color w:val="002060"/>
          <w:sz w:val="40"/>
          <w:szCs w:val="40"/>
          <w:lang w:eastAsia="it-IT"/>
        </w:rPr>
      </w:pPr>
    </w:p>
    <w:p w14:paraId="5ECD9C1E" w14:textId="77777777" w:rsidR="00117C81" w:rsidRPr="00853781" w:rsidRDefault="00117C81" w:rsidP="00117C81">
      <w:pPr>
        <w:spacing w:after="120" w:line="240" w:lineRule="auto"/>
        <w:jc w:val="center"/>
        <w:rPr>
          <w:rFonts w:eastAsia="Calibri" w:cstheme="minorHAnsi"/>
          <w:color w:val="002060"/>
          <w:sz w:val="40"/>
          <w:szCs w:val="40"/>
          <w:lang w:eastAsia="it-IT"/>
        </w:rPr>
      </w:pPr>
    </w:p>
    <w:p w14:paraId="10EB1BD2" w14:textId="77777777" w:rsidR="00117C81" w:rsidRPr="00853781" w:rsidRDefault="00117C81" w:rsidP="00117C81">
      <w:pPr>
        <w:spacing w:after="120" w:line="240" w:lineRule="auto"/>
        <w:jc w:val="center"/>
        <w:rPr>
          <w:rFonts w:eastAsia="Calibri" w:cstheme="minorHAnsi"/>
          <w:b/>
          <w:smallCaps/>
          <w:color w:val="002060"/>
          <w:sz w:val="36"/>
          <w:szCs w:val="36"/>
          <w:lang w:eastAsia="it-IT"/>
        </w:rPr>
      </w:pPr>
      <w:r w:rsidRPr="00853781">
        <w:rPr>
          <w:rFonts w:eastAsia="Calibri" w:cstheme="minorHAnsi"/>
          <w:b/>
          <w:smallCaps/>
          <w:color w:val="002060"/>
          <w:sz w:val="36"/>
          <w:szCs w:val="36"/>
          <w:lang w:eastAsia="it-IT"/>
        </w:rPr>
        <w:t>PIANO TRIENNALE DI FABBISOGNO DEL PERSONALE</w:t>
      </w:r>
    </w:p>
    <w:p w14:paraId="2696F080" w14:textId="40933709" w:rsidR="00117C81" w:rsidRPr="00853781" w:rsidRDefault="00117C81" w:rsidP="00117C81">
      <w:pPr>
        <w:spacing w:after="120" w:line="240" w:lineRule="auto"/>
        <w:jc w:val="center"/>
        <w:rPr>
          <w:rFonts w:eastAsia="Calibri" w:cstheme="minorHAnsi"/>
          <w:b/>
          <w:smallCaps/>
          <w:color w:val="002060"/>
          <w:sz w:val="36"/>
          <w:szCs w:val="36"/>
          <w:lang w:eastAsia="it-IT"/>
        </w:rPr>
      </w:pPr>
      <w:r w:rsidRPr="00853781">
        <w:rPr>
          <w:rFonts w:eastAsia="Calibri" w:cstheme="minorHAnsi"/>
          <w:b/>
          <w:smallCaps/>
          <w:color w:val="002060"/>
          <w:sz w:val="36"/>
          <w:szCs w:val="36"/>
          <w:lang w:eastAsia="it-IT"/>
        </w:rPr>
        <w:t>202</w:t>
      </w:r>
      <w:r w:rsidR="00D84074" w:rsidRPr="00853781">
        <w:rPr>
          <w:rFonts w:eastAsia="Calibri" w:cstheme="minorHAnsi"/>
          <w:b/>
          <w:smallCaps/>
          <w:color w:val="002060"/>
          <w:sz w:val="36"/>
          <w:szCs w:val="36"/>
          <w:lang w:eastAsia="it-IT"/>
        </w:rPr>
        <w:t>5</w:t>
      </w:r>
      <w:r w:rsidRPr="00853781">
        <w:rPr>
          <w:rFonts w:eastAsia="Calibri" w:cstheme="minorHAnsi"/>
          <w:b/>
          <w:smallCaps/>
          <w:color w:val="002060"/>
          <w:sz w:val="36"/>
          <w:szCs w:val="36"/>
          <w:lang w:eastAsia="it-IT"/>
        </w:rPr>
        <w:t>-202</w:t>
      </w:r>
      <w:r w:rsidR="00D84074" w:rsidRPr="00853781">
        <w:rPr>
          <w:rFonts w:eastAsia="Calibri" w:cstheme="minorHAnsi"/>
          <w:b/>
          <w:smallCaps/>
          <w:color w:val="002060"/>
          <w:sz w:val="36"/>
          <w:szCs w:val="36"/>
          <w:lang w:eastAsia="it-IT"/>
        </w:rPr>
        <w:t>7</w:t>
      </w:r>
    </w:p>
    <w:p w14:paraId="07953499" w14:textId="77777777" w:rsidR="00117C81" w:rsidRPr="00853781" w:rsidRDefault="00117C81" w:rsidP="00117C81">
      <w:pPr>
        <w:spacing w:after="120" w:line="240" w:lineRule="auto"/>
        <w:jc w:val="center"/>
        <w:rPr>
          <w:rFonts w:eastAsia="Calibri" w:cstheme="minorHAnsi"/>
          <w:b/>
          <w:smallCaps/>
          <w:color w:val="002060"/>
          <w:sz w:val="40"/>
          <w:szCs w:val="40"/>
          <w:lang w:eastAsia="it-IT"/>
        </w:rPr>
      </w:pPr>
    </w:p>
    <w:p w14:paraId="020F79BF" w14:textId="77777777" w:rsidR="00117C81" w:rsidRPr="00853781" w:rsidRDefault="00117C81" w:rsidP="00117C81">
      <w:pPr>
        <w:spacing w:after="120" w:line="240" w:lineRule="auto"/>
        <w:jc w:val="center"/>
        <w:rPr>
          <w:rFonts w:eastAsia="Calibri" w:cstheme="minorHAnsi"/>
          <w:b/>
          <w:smallCaps/>
          <w:color w:val="002060"/>
          <w:sz w:val="40"/>
          <w:szCs w:val="40"/>
          <w:lang w:eastAsia="it-IT"/>
        </w:rPr>
      </w:pPr>
      <w:r w:rsidRPr="00853781">
        <w:rPr>
          <w:rFonts w:eastAsia="Calibri" w:cstheme="minorHAnsi"/>
          <w:b/>
          <w:smallCaps/>
          <w:color w:val="002060"/>
          <w:sz w:val="40"/>
          <w:szCs w:val="40"/>
          <w:lang w:eastAsia="it-IT"/>
        </w:rPr>
        <w:br w:type="page"/>
      </w:r>
    </w:p>
    <w:p w14:paraId="26BE55A7" w14:textId="77777777" w:rsidR="00117C81" w:rsidRPr="00853781" w:rsidRDefault="00117C81" w:rsidP="00117C81">
      <w:pPr>
        <w:spacing w:after="120" w:line="240" w:lineRule="auto"/>
        <w:jc w:val="both"/>
        <w:rPr>
          <w:rFonts w:eastAsia="Calibri" w:cstheme="minorHAnsi"/>
          <w:color w:val="002060"/>
          <w:sz w:val="24"/>
          <w:szCs w:val="24"/>
          <w:lang w:eastAsia="it-IT"/>
        </w:rPr>
      </w:pPr>
    </w:p>
    <w:p w14:paraId="6EE8A329" w14:textId="77777777" w:rsidR="00117C81" w:rsidRPr="00853781" w:rsidRDefault="00117C81" w:rsidP="00117C81">
      <w:pPr>
        <w:spacing w:after="120" w:line="240" w:lineRule="auto"/>
        <w:jc w:val="both"/>
        <w:rPr>
          <w:rFonts w:eastAsia="Calibri" w:cstheme="minorHAnsi"/>
          <w:color w:val="002060"/>
          <w:sz w:val="24"/>
          <w:szCs w:val="24"/>
          <w:lang w:eastAsia="it-IT"/>
        </w:rPr>
      </w:pPr>
    </w:p>
    <w:p w14:paraId="6DC85547" w14:textId="77777777" w:rsidR="00117C81" w:rsidRPr="00853781" w:rsidRDefault="00117C81" w:rsidP="00117C81">
      <w:pPr>
        <w:spacing w:after="120" w:line="240" w:lineRule="auto"/>
        <w:jc w:val="both"/>
        <w:rPr>
          <w:rFonts w:eastAsia="Calibri" w:cstheme="minorHAnsi"/>
          <w:color w:val="002060"/>
          <w:sz w:val="24"/>
          <w:szCs w:val="24"/>
          <w:lang w:eastAsia="it-IT"/>
        </w:rPr>
      </w:pPr>
    </w:p>
    <w:p w14:paraId="397C6886" w14:textId="77777777" w:rsidR="00117C81" w:rsidRPr="00853781" w:rsidRDefault="00117C81" w:rsidP="00117C81">
      <w:pPr>
        <w:keepNext/>
        <w:keepLines/>
        <w:pBdr>
          <w:top w:val="nil"/>
          <w:left w:val="nil"/>
          <w:bottom w:val="nil"/>
          <w:right w:val="nil"/>
          <w:between w:val="nil"/>
        </w:pBdr>
        <w:spacing w:before="240" w:after="0"/>
        <w:jc w:val="both"/>
        <w:rPr>
          <w:rFonts w:eastAsia="Calibri" w:cstheme="minorHAnsi"/>
          <w:color w:val="002060"/>
          <w:sz w:val="24"/>
          <w:szCs w:val="24"/>
          <w:lang w:eastAsia="it-IT"/>
        </w:rPr>
      </w:pPr>
      <w:r w:rsidRPr="00853781">
        <w:rPr>
          <w:rFonts w:eastAsia="Calibri" w:cstheme="minorHAnsi"/>
          <w:color w:val="002060"/>
          <w:sz w:val="24"/>
          <w:szCs w:val="24"/>
          <w:lang w:eastAsia="it-IT"/>
        </w:rPr>
        <w:t>INDICE</w:t>
      </w:r>
    </w:p>
    <w:sdt>
      <w:sdtPr>
        <w:rPr>
          <w:rFonts w:eastAsia="Garamond" w:cstheme="minorHAnsi"/>
          <w:color w:val="002060"/>
          <w:sz w:val="24"/>
          <w:szCs w:val="24"/>
          <w:lang w:eastAsia="it-IT"/>
        </w:rPr>
        <w:id w:val="-1659846201"/>
        <w:docPartObj>
          <w:docPartGallery w:val="Table of Contents"/>
          <w:docPartUnique/>
        </w:docPartObj>
      </w:sdtPr>
      <w:sdtEndPr/>
      <w:sdtContent>
        <w:p w14:paraId="74C2AD86" w14:textId="77777777" w:rsidR="00117C81" w:rsidRPr="00853781" w:rsidRDefault="00117C81" w:rsidP="00117C81">
          <w:pPr>
            <w:pBdr>
              <w:top w:val="nil"/>
              <w:left w:val="nil"/>
              <w:bottom w:val="nil"/>
              <w:right w:val="nil"/>
              <w:between w:val="nil"/>
            </w:pBdr>
            <w:tabs>
              <w:tab w:val="left" w:pos="480"/>
              <w:tab w:val="right" w:pos="8834"/>
            </w:tabs>
            <w:spacing w:after="100" w:line="240" w:lineRule="auto"/>
            <w:jc w:val="both"/>
            <w:rPr>
              <w:rFonts w:eastAsia="Calibri" w:cstheme="minorHAnsi"/>
              <w:color w:val="002060"/>
              <w:sz w:val="24"/>
              <w:szCs w:val="24"/>
              <w:lang w:eastAsia="it-IT"/>
            </w:rPr>
          </w:pPr>
          <w:r w:rsidRPr="00853781">
            <w:rPr>
              <w:rFonts w:eastAsia="Garamond" w:cstheme="minorHAnsi"/>
              <w:color w:val="002060"/>
              <w:sz w:val="24"/>
              <w:szCs w:val="24"/>
              <w:lang w:eastAsia="it-IT"/>
            </w:rPr>
            <w:fldChar w:fldCharType="begin"/>
          </w:r>
          <w:r w:rsidRPr="00853781">
            <w:rPr>
              <w:rFonts w:eastAsia="Garamond" w:cstheme="minorHAnsi"/>
              <w:color w:val="002060"/>
              <w:sz w:val="24"/>
              <w:szCs w:val="24"/>
              <w:lang w:eastAsia="it-IT"/>
            </w:rPr>
            <w:instrText xml:space="preserve"> TOC \h \u \z </w:instrText>
          </w:r>
          <w:r w:rsidRPr="00853781">
            <w:rPr>
              <w:rFonts w:eastAsia="Garamond" w:cstheme="minorHAnsi"/>
              <w:color w:val="002060"/>
              <w:sz w:val="24"/>
              <w:szCs w:val="24"/>
              <w:lang w:eastAsia="it-IT"/>
            </w:rPr>
            <w:fldChar w:fldCharType="separate"/>
          </w:r>
          <w:hyperlink w:anchor="_heading=h.1fob9te">
            <w:r w:rsidRPr="00853781">
              <w:rPr>
                <w:rFonts w:eastAsia="Calibri" w:cstheme="minorHAnsi"/>
                <w:color w:val="002060"/>
                <w:sz w:val="24"/>
                <w:szCs w:val="24"/>
                <w:lang w:eastAsia="it-IT"/>
              </w:rPr>
              <w:t>1.</w:t>
            </w:r>
            <w:r w:rsidRPr="00853781">
              <w:rPr>
                <w:rFonts w:eastAsia="Calibri" w:cstheme="minorHAnsi"/>
                <w:color w:val="002060"/>
                <w:sz w:val="24"/>
                <w:szCs w:val="24"/>
                <w:lang w:eastAsia="it-IT"/>
              </w:rPr>
              <w:tab/>
              <w:t>Premessa</w:t>
            </w:r>
            <w:r w:rsidRPr="00853781">
              <w:rPr>
                <w:rFonts w:eastAsia="Calibri" w:cstheme="minorHAnsi"/>
                <w:color w:val="002060"/>
                <w:sz w:val="24"/>
                <w:szCs w:val="24"/>
                <w:lang w:eastAsia="it-IT"/>
              </w:rPr>
              <w:tab/>
              <w:t>3</w:t>
            </w:r>
          </w:hyperlink>
        </w:p>
        <w:p w14:paraId="6B87ED81" w14:textId="77777777" w:rsidR="00117C81" w:rsidRPr="00853781" w:rsidRDefault="00117C81" w:rsidP="00117C81">
          <w:pPr>
            <w:pBdr>
              <w:top w:val="nil"/>
              <w:left w:val="nil"/>
              <w:bottom w:val="nil"/>
              <w:right w:val="nil"/>
              <w:between w:val="nil"/>
            </w:pBdr>
            <w:tabs>
              <w:tab w:val="left" w:pos="480"/>
              <w:tab w:val="right" w:pos="8834"/>
            </w:tabs>
            <w:spacing w:after="100" w:line="240" w:lineRule="auto"/>
            <w:jc w:val="both"/>
            <w:rPr>
              <w:rFonts w:eastAsia="Calibri" w:cstheme="minorHAnsi"/>
              <w:color w:val="002060"/>
              <w:sz w:val="24"/>
              <w:szCs w:val="24"/>
              <w:lang w:eastAsia="it-IT"/>
            </w:rPr>
          </w:pPr>
          <w:hyperlink w:anchor="_heading=h.3znysh7">
            <w:r w:rsidRPr="00853781">
              <w:rPr>
                <w:rFonts w:eastAsia="Calibri" w:cstheme="minorHAnsi"/>
                <w:color w:val="002060"/>
                <w:sz w:val="24"/>
                <w:szCs w:val="24"/>
                <w:lang w:eastAsia="it-IT"/>
              </w:rPr>
              <w:t>2.</w:t>
            </w:r>
            <w:r w:rsidRPr="00853781">
              <w:rPr>
                <w:rFonts w:eastAsia="Calibri" w:cstheme="minorHAnsi"/>
                <w:color w:val="002060"/>
                <w:sz w:val="24"/>
                <w:szCs w:val="24"/>
                <w:lang w:eastAsia="it-IT"/>
              </w:rPr>
              <w:tab/>
              <w:t>Attività di Programmazione del fabbisogno</w:t>
            </w:r>
            <w:r w:rsidRPr="00853781">
              <w:rPr>
                <w:rFonts w:eastAsia="Calibri" w:cstheme="minorHAnsi"/>
                <w:color w:val="002060"/>
                <w:sz w:val="24"/>
                <w:szCs w:val="24"/>
                <w:lang w:eastAsia="it-IT"/>
              </w:rPr>
              <w:tab/>
              <w:t>4</w:t>
            </w:r>
          </w:hyperlink>
        </w:p>
        <w:p w14:paraId="58AF6992" w14:textId="77777777" w:rsidR="00117C81" w:rsidRPr="00853781" w:rsidRDefault="00117C81" w:rsidP="00117C81">
          <w:pPr>
            <w:pBdr>
              <w:top w:val="nil"/>
              <w:left w:val="nil"/>
              <w:bottom w:val="nil"/>
              <w:right w:val="nil"/>
              <w:between w:val="nil"/>
            </w:pBdr>
            <w:tabs>
              <w:tab w:val="left" w:pos="480"/>
              <w:tab w:val="right" w:pos="8834"/>
            </w:tabs>
            <w:spacing w:after="100" w:line="240" w:lineRule="auto"/>
            <w:jc w:val="both"/>
            <w:rPr>
              <w:rFonts w:eastAsia="Calibri" w:cstheme="minorHAnsi"/>
              <w:color w:val="002060"/>
              <w:sz w:val="24"/>
              <w:szCs w:val="24"/>
              <w:lang w:eastAsia="it-IT"/>
            </w:rPr>
          </w:pPr>
          <w:hyperlink w:anchor="_heading=h.2et92p0">
            <w:r w:rsidRPr="00853781">
              <w:rPr>
                <w:rFonts w:eastAsia="Calibri" w:cstheme="minorHAnsi"/>
                <w:color w:val="002060"/>
                <w:sz w:val="24"/>
                <w:szCs w:val="24"/>
                <w:lang w:eastAsia="it-IT"/>
              </w:rPr>
              <w:t>3.</w:t>
            </w:r>
            <w:r w:rsidRPr="00853781">
              <w:rPr>
                <w:rFonts w:eastAsia="Calibri" w:cstheme="minorHAnsi"/>
                <w:color w:val="002060"/>
                <w:sz w:val="24"/>
                <w:szCs w:val="24"/>
                <w:lang w:eastAsia="it-IT"/>
              </w:rPr>
              <w:tab/>
              <w:t>Dotazione organica e analisi del fabbisogno di personale</w:t>
            </w:r>
            <w:r w:rsidRPr="00853781">
              <w:rPr>
                <w:rFonts w:eastAsia="Calibri" w:cstheme="minorHAnsi"/>
                <w:color w:val="002060"/>
                <w:sz w:val="24"/>
                <w:szCs w:val="24"/>
                <w:lang w:eastAsia="it-IT"/>
              </w:rPr>
              <w:tab/>
              <w:t>5</w:t>
            </w:r>
          </w:hyperlink>
        </w:p>
        <w:p w14:paraId="5C71DBAE" w14:textId="5FAB0FA1" w:rsidR="00117C81" w:rsidRDefault="00117C81" w:rsidP="00117C81">
          <w:pPr>
            <w:pBdr>
              <w:top w:val="nil"/>
              <w:left w:val="nil"/>
              <w:bottom w:val="nil"/>
              <w:right w:val="nil"/>
              <w:between w:val="nil"/>
            </w:pBdr>
            <w:tabs>
              <w:tab w:val="left" w:pos="480"/>
              <w:tab w:val="right" w:pos="8834"/>
            </w:tabs>
            <w:spacing w:after="100" w:line="240" w:lineRule="auto"/>
            <w:jc w:val="both"/>
            <w:rPr>
              <w:rFonts w:eastAsia="Calibri" w:cstheme="minorHAnsi"/>
              <w:color w:val="002060"/>
              <w:sz w:val="24"/>
              <w:szCs w:val="24"/>
              <w:lang w:eastAsia="it-IT"/>
            </w:rPr>
          </w:pPr>
          <w:hyperlink w:anchor="_heading=h.tyjcwt">
            <w:r w:rsidRPr="00853781">
              <w:rPr>
                <w:rFonts w:eastAsia="Calibri" w:cstheme="minorHAnsi"/>
                <w:color w:val="002060"/>
                <w:sz w:val="24"/>
                <w:szCs w:val="24"/>
                <w:lang w:eastAsia="it-IT"/>
              </w:rPr>
              <w:t>4.</w:t>
            </w:r>
            <w:r w:rsidRPr="00853781">
              <w:rPr>
                <w:rFonts w:eastAsia="Calibri" w:cstheme="minorHAnsi"/>
                <w:color w:val="002060"/>
                <w:sz w:val="24"/>
                <w:szCs w:val="24"/>
                <w:lang w:eastAsia="it-IT"/>
              </w:rPr>
              <w:tab/>
              <w:t>Spesa del personale</w:t>
            </w:r>
            <w:r w:rsidRPr="00853781">
              <w:rPr>
                <w:rFonts w:eastAsia="Calibri" w:cstheme="minorHAnsi"/>
                <w:color w:val="002060"/>
                <w:sz w:val="24"/>
                <w:szCs w:val="24"/>
                <w:lang w:eastAsia="it-IT"/>
              </w:rPr>
              <w:tab/>
            </w:r>
          </w:hyperlink>
          <w:r w:rsidR="003B4F14">
            <w:rPr>
              <w:rFonts w:eastAsia="Calibri" w:cstheme="minorHAnsi"/>
              <w:color w:val="002060"/>
              <w:sz w:val="24"/>
              <w:szCs w:val="24"/>
              <w:lang w:eastAsia="it-IT"/>
            </w:rPr>
            <w:t>7</w:t>
          </w:r>
        </w:p>
        <w:p w14:paraId="0CF1E219" w14:textId="6AAF8AF8" w:rsidR="003B4F14" w:rsidRPr="00853781" w:rsidRDefault="003B4F14" w:rsidP="00117C81">
          <w:pPr>
            <w:pBdr>
              <w:top w:val="nil"/>
              <w:left w:val="nil"/>
              <w:bottom w:val="nil"/>
              <w:right w:val="nil"/>
              <w:between w:val="nil"/>
            </w:pBdr>
            <w:tabs>
              <w:tab w:val="left" w:pos="480"/>
              <w:tab w:val="right" w:pos="8834"/>
            </w:tabs>
            <w:spacing w:after="100" w:line="240" w:lineRule="auto"/>
            <w:jc w:val="both"/>
            <w:rPr>
              <w:rFonts w:eastAsia="Calibri" w:cstheme="minorHAnsi"/>
              <w:color w:val="002060"/>
              <w:sz w:val="24"/>
              <w:szCs w:val="24"/>
              <w:lang w:eastAsia="it-IT"/>
            </w:rPr>
          </w:pPr>
          <w:r>
            <w:rPr>
              <w:rFonts w:eastAsia="Calibri" w:cstheme="minorHAnsi"/>
              <w:color w:val="002060"/>
              <w:sz w:val="24"/>
              <w:szCs w:val="24"/>
              <w:lang w:eastAsia="it-IT"/>
            </w:rPr>
            <w:t xml:space="preserve">5. </w:t>
          </w:r>
          <w:r>
            <w:rPr>
              <w:rFonts w:eastAsia="Calibri" w:cstheme="minorHAnsi"/>
              <w:color w:val="002060"/>
              <w:sz w:val="24"/>
              <w:szCs w:val="24"/>
              <w:lang w:eastAsia="it-IT"/>
            </w:rPr>
            <w:tab/>
            <w:t>Reclutamento del personale</w:t>
          </w:r>
          <w:r>
            <w:rPr>
              <w:rFonts w:eastAsia="Calibri" w:cstheme="minorHAnsi"/>
              <w:color w:val="002060"/>
              <w:sz w:val="24"/>
              <w:szCs w:val="24"/>
              <w:lang w:eastAsia="it-IT"/>
            </w:rPr>
            <w:tab/>
          </w:r>
          <w:r w:rsidR="009B77A6">
            <w:rPr>
              <w:rFonts w:eastAsia="Calibri" w:cstheme="minorHAnsi"/>
              <w:color w:val="002060"/>
              <w:sz w:val="24"/>
              <w:szCs w:val="24"/>
              <w:lang w:eastAsia="it-IT"/>
            </w:rPr>
            <w:t>10</w:t>
          </w:r>
        </w:p>
        <w:p w14:paraId="4BFE47A8" w14:textId="3FAAA3A5" w:rsidR="00117C81" w:rsidRPr="00853781" w:rsidRDefault="003B4F14" w:rsidP="00117C81">
          <w:pPr>
            <w:pBdr>
              <w:top w:val="nil"/>
              <w:left w:val="nil"/>
              <w:bottom w:val="nil"/>
              <w:right w:val="nil"/>
              <w:between w:val="nil"/>
            </w:pBdr>
            <w:tabs>
              <w:tab w:val="left" w:pos="480"/>
              <w:tab w:val="right" w:pos="8834"/>
            </w:tabs>
            <w:spacing w:after="100" w:line="240" w:lineRule="auto"/>
            <w:jc w:val="both"/>
            <w:rPr>
              <w:rFonts w:eastAsia="Calibri" w:cstheme="minorHAnsi"/>
              <w:color w:val="002060"/>
              <w:sz w:val="24"/>
              <w:szCs w:val="24"/>
              <w:lang w:eastAsia="it-IT"/>
            </w:rPr>
          </w:pPr>
          <w:hyperlink w:anchor="_heading=h.1t3h5sf">
            <w:r>
              <w:rPr>
                <w:rFonts w:eastAsia="Calibri" w:cstheme="minorHAnsi"/>
                <w:color w:val="002060"/>
                <w:sz w:val="24"/>
                <w:szCs w:val="24"/>
                <w:lang w:eastAsia="it-IT"/>
              </w:rPr>
              <w:t>6</w:t>
            </w:r>
            <w:r w:rsidR="00117C81" w:rsidRPr="00853781">
              <w:rPr>
                <w:rFonts w:eastAsia="Calibri" w:cstheme="minorHAnsi"/>
                <w:color w:val="002060"/>
                <w:sz w:val="24"/>
                <w:szCs w:val="24"/>
                <w:lang w:eastAsia="it-IT"/>
              </w:rPr>
              <w:t>.</w:t>
            </w:r>
            <w:r w:rsidR="00117C81" w:rsidRPr="00853781">
              <w:rPr>
                <w:rFonts w:eastAsia="Calibri" w:cstheme="minorHAnsi"/>
                <w:color w:val="002060"/>
                <w:sz w:val="24"/>
                <w:szCs w:val="24"/>
                <w:lang w:eastAsia="it-IT"/>
              </w:rPr>
              <w:tab/>
              <w:t>Conformità alla normativa vigente</w:t>
            </w:r>
            <w:r w:rsidR="00117C81" w:rsidRPr="00853781">
              <w:rPr>
                <w:rFonts w:eastAsia="Calibri" w:cstheme="minorHAnsi"/>
                <w:color w:val="002060"/>
                <w:sz w:val="24"/>
                <w:szCs w:val="24"/>
                <w:lang w:eastAsia="it-IT"/>
              </w:rPr>
              <w:tab/>
            </w:r>
          </w:hyperlink>
          <w:r>
            <w:rPr>
              <w:rFonts w:eastAsia="Calibri" w:cstheme="minorHAnsi"/>
              <w:color w:val="002060"/>
              <w:sz w:val="24"/>
              <w:szCs w:val="24"/>
              <w:lang w:eastAsia="it-IT"/>
            </w:rPr>
            <w:t>1</w:t>
          </w:r>
          <w:r w:rsidR="009B77A6">
            <w:rPr>
              <w:rFonts w:eastAsia="Calibri" w:cstheme="minorHAnsi"/>
              <w:color w:val="002060"/>
              <w:sz w:val="24"/>
              <w:szCs w:val="24"/>
              <w:lang w:eastAsia="it-IT"/>
            </w:rPr>
            <w:t>2</w:t>
          </w:r>
        </w:p>
        <w:p w14:paraId="750FD7A3" w14:textId="77777777" w:rsidR="00117C81" w:rsidRPr="00853781" w:rsidRDefault="00117C81" w:rsidP="00117C81">
          <w:pPr>
            <w:tabs>
              <w:tab w:val="right" w:pos="8843"/>
            </w:tabs>
            <w:spacing w:before="200" w:after="80" w:line="240" w:lineRule="auto"/>
            <w:jc w:val="both"/>
            <w:rPr>
              <w:rFonts w:eastAsia="Calibri" w:cstheme="minorHAnsi"/>
              <w:color w:val="002060"/>
              <w:sz w:val="24"/>
              <w:szCs w:val="24"/>
              <w:lang w:eastAsia="it-IT"/>
            </w:rPr>
          </w:pPr>
          <w:r w:rsidRPr="00853781">
            <w:rPr>
              <w:rFonts w:eastAsia="Garamond" w:cstheme="minorHAnsi"/>
              <w:color w:val="002060"/>
              <w:sz w:val="24"/>
              <w:szCs w:val="24"/>
              <w:lang w:eastAsia="it-IT"/>
            </w:rPr>
            <w:fldChar w:fldCharType="end"/>
          </w:r>
        </w:p>
      </w:sdtContent>
    </w:sdt>
    <w:p w14:paraId="7BD07FB9" w14:textId="77777777" w:rsidR="00117C81" w:rsidRPr="00853781" w:rsidRDefault="00117C81" w:rsidP="00117C81">
      <w:pPr>
        <w:spacing w:after="120" w:line="240" w:lineRule="auto"/>
        <w:jc w:val="both"/>
        <w:rPr>
          <w:rFonts w:eastAsia="Calibri" w:cstheme="minorHAnsi"/>
          <w:color w:val="002060"/>
          <w:sz w:val="24"/>
          <w:szCs w:val="24"/>
          <w:lang w:eastAsia="it-IT"/>
        </w:rPr>
        <w:sectPr w:rsidR="00117C81" w:rsidRPr="00853781">
          <w:footerReference w:type="default" r:id="rId9"/>
          <w:footerReference w:type="first" r:id="rId10"/>
          <w:pgSz w:w="11906" w:h="16838"/>
          <w:pgMar w:top="1701" w:right="1531" w:bottom="2552" w:left="1531" w:header="709" w:footer="709" w:gutter="0"/>
          <w:cols w:space="720"/>
          <w:titlePg/>
        </w:sectPr>
      </w:pPr>
    </w:p>
    <w:p w14:paraId="68368C83" w14:textId="77777777" w:rsidR="00117C81" w:rsidRPr="00853781" w:rsidRDefault="00117C81" w:rsidP="00117C81">
      <w:pPr>
        <w:keepNext/>
        <w:keepLines/>
        <w:numPr>
          <w:ilvl w:val="0"/>
          <w:numId w:val="1"/>
        </w:numPr>
        <w:spacing w:before="240" w:after="0" w:line="240" w:lineRule="auto"/>
        <w:jc w:val="both"/>
        <w:outlineLvl w:val="0"/>
        <w:rPr>
          <w:rFonts w:eastAsia="Calibri" w:cstheme="minorHAnsi"/>
          <w:b/>
          <w:bCs/>
          <w:color w:val="002060"/>
          <w:sz w:val="24"/>
          <w:szCs w:val="32"/>
          <w:u w:val="single"/>
          <w:lang w:eastAsia="it-IT"/>
        </w:rPr>
      </w:pPr>
      <w:r w:rsidRPr="00853781">
        <w:rPr>
          <w:rFonts w:eastAsia="Calibri" w:cstheme="minorHAnsi"/>
          <w:b/>
          <w:bCs/>
          <w:color w:val="002060"/>
          <w:sz w:val="24"/>
          <w:szCs w:val="32"/>
          <w:u w:val="single"/>
          <w:lang w:eastAsia="it-IT"/>
        </w:rPr>
        <w:lastRenderedPageBreak/>
        <w:t>Premessa</w:t>
      </w:r>
    </w:p>
    <w:p w14:paraId="0FB96FEF" w14:textId="714C50D4" w:rsidR="00117C81" w:rsidRPr="00853781" w:rsidRDefault="00117C81" w:rsidP="00117C81">
      <w:pPr>
        <w:spacing w:before="240"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Il </w:t>
      </w:r>
      <w:r w:rsidRPr="00853781">
        <w:rPr>
          <w:rFonts w:eastAsia="Calibri" w:cstheme="minorHAnsi"/>
          <w:b/>
          <w:color w:val="002060"/>
          <w:sz w:val="24"/>
          <w:szCs w:val="24"/>
          <w:lang w:eastAsia="it-IT"/>
        </w:rPr>
        <w:t>Piano triennale del fabbisogno di personale</w:t>
      </w:r>
      <w:r w:rsidRPr="00853781">
        <w:rPr>
          <w:rFonts w:eastAsia="Calibri" w:cstheme="minorHAnsi"/>
          <w:color w:val="002060"/>
          <w:sz w:val="24"/>
          <w:szCs w:val="24"/>
          <w:lang w:eastAsia="it-IT"/>
        </w:rPr>
        <w:t xml:space="preserve"> rappresenta uno dei principali atti di programmazione delle PA, disciplinato dall’art. 6 del d.lgs.  n. 165/2001, il quale prevede che le amministrazioni pubbliche definisc</w:t>
      </w:r>
      <w:r w:rsidR="004F7914" w:rsidRPr="00853781">
        <w:rPr>
          <w:rFonts w:eastAsia="Calibri" w:cstheme="minorHAnsi"/>
          <w:color w:val="002060"/>
          <w:sz w:val="24"/>
          <w:szCs w:val="24"/>
          <w:lang w:eastAsia="it-IT"/>
        </w:rPr>
        <w:t>o</w:t>
      </w:r>
      <w:r w:rsidRPr="00853781">
        <w:rPr>
          <w:rFonts w:eastAsia="Calibri" w:cstheme="minorHAnsi"/>
          <w:color w:val="002060"/>
          <w:sz w:val="24"/>
          <w:szCs w:val="24"/>
          <w:lang w:eastAsia="it-IT"/>
        </w:rPr>
        <w:t>no l'organizzazione degli uffici in conformità al piano triennale dei fabbisogni di personale, in coerenza con la pianificazione pluriennale delle attività e della performance, nonché con le linee di indirizzo emanate ai sensi dell'articolo 6-ter, allo scopo di ottimizzare l'impiego delle risorse pubbliche disponibili e perseguire obiettivi di performance organizzativa, efficienza, economicità e qualità dei servizi ai cittadini.</w:t>
      </w:r>
    </w:p>
    <w:p w14:paraId="5807DE58" w14:textId="77777777" w:rsidR="00117C81" w:rsidRPr="00853781" w:rsidRDefault="00117C81" w:rsidP="00117C81">
      <w:pPr>
        <w:spacing w:before="240"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Il Piano triennale del fabbisogno di personale, quindi:</w:t>
      </w:r>
    </w:p>
    <w:p w14:paraId="40E9AA7D" w14:textId="77777777" w:rsidR="00117C81" w:rsidRPr="00853781" w:rsidRDefault="00117C81" w:rsidP="00117C81">
      <w:pPr>
        <w:numPr>
          <w:ilvl w:val="0"/>
          <w:numId w:val="2"/>
        </w:numPr>
        <w:pBdr>
          <w:top w:val="nil"/>
          <w:left w:val="nil"/>
          <w:bottom w:val="nil"/>
          <w:right w:val="nil"/>
          <w:between w:val="nil"/>
        </w:pBdr>
        <w:spacing w:before="240"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è uno strumento di programmazione dell’Ente;</w:t>
      </w:r>
    </w:p>
    <w:p w14:paraId="5F3E530D" w14:textId="77777777" w:rsidR="00117C81" w:rsidRPr="00853781" w:rsidRDefault="00117C81" w:rsidP="00117C81">
      <w:pPr>
        <w:numPr>
          <w:ilvl w:val="0"/>
          <w:numId w:val="2"/>
        </w:numPr>
        <w:pBdr>
          <w:top w:val="nil"/>
          <w:left w:val="nil"/>
          <w:bottom w:val="nil"/>
          <w:right w:val="nil"/>
          <w:between w:val="nil"/>
        </w:pBd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è il presupposto per procedere a nuove assunzioni;</w:t>
      </w:r>
    </w:p>
    <w:p w14:paraId="75050B29" w14:textId="77777777" w:rsidR="00117C81" w:rsidRPr="00853781" w:rsidRDefault="00117C81" w:rsidP="00117C81">
      <w:pPr>
        <w:numPr>
          <w:ilvl w:val="0"/>
          <w:numId w:val="2"/>
        </w:numPr>
        <w:pBdr>
          <w:top w:val="nil"/>
          <w:left w:val="nil"/>
          <w:bottom w:val="nil"/>
          <w:right w:val="nil"/>
          <w:between w:val="nil"/>
        </w:pBd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è soggetto ad aggiornamento;</w:t>
      </w:r>
    </w:p>
    <w:p w14:paraId="5D8A243F" w14:textId="77777777" w:rsidR="00117C81" w:rsidRPr="00853781" w:rsidRDefault="00117C81" w:rsidP="00117C81">
      <w:pPr>
        <w:numPr>
          <w:ilvl w:val="0"/>
          <w:numId w:val="2"/>
        </w:numPr>
        <w:pBdr>
          <w:top w:val="nil"/>
          <w:left w:val="nil"/>
          <w:bottom w:val="nil"/>
          <w:right w:val="nil"/>
          <w:between w:val="nil"/>
        </w:pBd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ridefinisce la dotazione organica dell’Ente</w:t>
      </w:r>
    </w:p>
    <w:p w14:paraId="179D6493" w14:textId="77777777" w:rsidR="00117C81" w:rsidRPr="00853781" w:rsidRDefault="00117C81" w:rsidP="00117C81">
      <w:pPr>
        <w:numPr>
          <w:ilvl w:val="0"/>
          <w:numId w:val="2"/>
        </w:numPr>
        <w:pBdr>
          <w:top w:val="nil"/>
          <w:left w:val="nil"/>
          <w:bottom w:val="nil"/>
          <w:right w:val="nil"/>
          <w:between w:val="nil"/>
        </w:pBdr>
        <w:spacing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rientra nella disciplina assunzionale delle Pubbliche Amministrazioni.</w:t>
      </w:r>
    </w:p>
    <w:p w14:paraId="0C280D29" w14:textId="77777777" w:rsidR="00117C81" w:rsidRPr="00853781" w:rsidRDefault="00117C81" w:rsidP="00117C81">
      <w:pPr>
        <w:spacing w:before="240"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Preliminarmente, occorre verificare l’applicabilità della disciplina assunzionale del pubblico impiego alla categoria degli ordini e collegi professionali, muovendo da una sintetica ricognizione della natura giuridica degli Ordini professionali in generale, il cui paradigma tradizionale li vede inquadrati nella categoria degli enti pubblici non economici</w:t>
      </w:r>
      <w:r w:rsidRPr="00853781">
        <w:rPr>
          <w:rFonts w:eastAsia="Calibri" w:cstheme="minorHAnsi"/>
          <w:color w:val="002060"/>
          <w:sz w:val="24"/>
          <w:szCs w:val="24"/>
          <w:vertAlign w:val="superscript"/>
          <w:lang w:eastAsia="it-IT"/>
        </w:rPr>
        <w:footnoteReference w:id="1"/>
      </w:r>
      <w:r w:rsidRPr="00853781">
        <w:rPr>
          <w:rFonts w:eastAsia="Calibri" w:cstheme="minorHAnsi"/>
          <w:color w:val="002060"/>
          <w:sz w:val="24"/>
          <w:szCs w:val="24"/>
          <w:lang w:eastAsia="it-IT"/>
        </w:rPr>
        <w:t>, nell’ambito delle varie accezioni e forme della pubblica amministrazione.</w:t>
      </w:r>
    </w:p>
    <w:p w14:paraId="778D8262" w14:textId="77777777" w:rsidR="00117C81" w:rsidRPr="00853781" w:rsidRDefault="00117C81" w:rsidP="00117C81">
      <w:pPr>
        <w:spacing w:before="240"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In particolare, gli Ordini e Collegi professionali in quanto pubblica amministrazione, agiscono quali organi sussidiari dello Stato, al fine di tutelare gli interessi pubblici, garantiti dall'ordinamento, connessi all'esercizio professionale. Pur essendo dotati di autonomia patrimoniale, finanziaria </w:t>
      </w:r>
      <w:r w:rsidRPr="00853781">
        <w:rPr>
          <w:rFonts w:eastAsia="Calibri" w:cstheme="minorHAnsi"/>
          <w:color w:val="002060"/>
          <w:sz w:val="24"/>
          <w:szCs w:val="24"/>
          <w:vertAlign w:val="superscript"/>
          <w:lang w:eastAsia="it-IT"/>
        </w:rPr>
        <w:footnoteReference w:id="2"/>
      </w:r>
      <w:r w:rsidRPr="00853781">
        <w:rPr>
          <w:rFonts w:eastAsia="Calibri" w:cstheme="minorHAnsi"/>
          <w:color w:val="002060"/>
          <w:sz w:val="24"/>
          <w:szCs w:val="24"/>
          <w:lang w:eastAsia="it-IT"/>
        </w:rPr>
        <w:t>, regolamentare e disciplinare i rapporti di lavoro sono regolati dalle norme in materia di pubblico impiego privatizzato.</w:t>
      </w:r>
    </w:p>
    <w:p w14:paraId="0ACFD50D" w14:textId="77777777" w:rsidR="00117C81" w:rsidRPr="00853781" w:rsidRDefault="00117C81" w:rsidP="00117C81">
      <w:pPr>
        <w:spacing w:before="240"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lastRenderedPageBreak/>
        <w:t>Pertanto, il quadro regolatorio di riferimento, ai fini assunzionali, è rappresentato dal d.lgs. 165/2001, recante il Testo unico sui rapporti di lavoro con la pubblica amministrazione, come di seguito specificato</w:t>
      </w:r>
      <w:r w:rsidRPr="00853781">
        <w:rPr>
          <w:rFonts w:eastAsia="Calibri" w:cstheme="minorHAnsi"/>
          <w:color w:val="002060"/>
          <w:sz w:val="24"/>
          <w:szCs w:val="24"/>
          <w:vertAlign w:val="superscript"/>
          <w:lang w:eastAsia="it-IT"/>
        </w:rPr>
        <w:footnoteReference w:id="3"/>
      </w:r>
      <w:r w:rsidRPr="00853781">
        <w:rPr>
          <w:rFonts w:eastAsia="Calibri" w:cstheme="minorHAnsi"/>
          <w:color w:val="002060"/>
          <w:sz w:val="24"/>
          <w:szCs w:val="24"/>
          <w:lang w:eastAsia="it-IT"/>
        </w:rPr>
        <w:t>.</w:t>
      </w:r>
    </w:p>
    <w:p w14:paraId="773761A4" w14:textId="77777777" w:rsidR="00117C81" w:rsidRPr="00853781" w:rsidRDefault="00117C81" w:rsidP="00117C81">
      <w:pPr>
        <w:spacing w:after="120" w:line="240" w:lineRule="auto"/>
        <w:rPr>
          <w:rFonts w:eastAsia="Calibri" w:cstheme="minorHAnsi"/>
          <w:b/>
          <w:smallCaps/>
          <w:color w:val="002060"/>
          <w:sz w:val="36"/>
          <w:szCs w:val="36"/>
          <w:lang w:eastAsia="it-IT"/>
        </w:rPr>
      </w:pPr>
    </w:p>
    <w:p w14:paraId="22A9C83E" w14:textId="77777777" w:rsidR="00117C81" w:rsidRPr="00853781" w:rsidRDefault="00117C81" w:rsidP="00117C81">
      <w:pPr>
        <w:keepNext/>
        <w:keepLines/>
        <w:numPr>
          <w:ilvl w:val="0"/>
          <w:numId w:val="3"/>
        </w:numPr>
        <w:spacing w:before="240" w:after="0" w:line="240" w:lineRule="auto"/>
        <w:jc w:val="both"/>
        <w:outlineLvl w:val="0"/>
        <w:rPr>
          <w:rFonts w:eastAsia="Calibri" w:cstheme="minorHAnsi"/>
          <w:b/>
          <w:bCs/>
          <w:color w:val="002060"/>
          <w:sz w:val="24"/>
          <w:szCs w:val="32"/>
          <w:u w:val="single"/>
          <w:lang w:eastAsia="it-IT"/>
        </w:rPr>
      </w:pPr>
      <w:r w:rsidRPr="00853781">
        <w:rPr>
          <w:rFonts w:eastAsia="Calibri" w:cstheme="minorHAnsi"/>
          <w:b/>
          <w:bCs/>
          <w:color w:val="002060"/>
          <w:sz w:val="24"/>
          <w:szCs w:val="32"/>
          <w:u w:val="single"/>
          <w:lang w:eastAsia="it-IT"/>
        </w:rPr>
        <w:t>Attività di Programmazione del fabbisogno</w:t>
      </w:r>
    </w:p>
    <w:p w14:paraId="6673A925" w14:textId="77777777" w:rsidR="00117C81" w:rsidRPr="00853781" w:rsidRDefault="00117C81" w:rsidP="00117C81">
      <w:pPr>
        <w:spacing w:before="240"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Gli ordini e collegi professionali, in quanto enti pubblici non economici, anche se dotati di propria autonomia patrimoniale devono osservare le norme previste dal Testo unico sui rapporti di lavoro con la pubblica amministrazione (d.lgs. 165/2001) e, in particolare, devono definire le linee fondamentali di organizzazione degli uffici ispirandosi ai criteri indicati all’art. 2 e assumendo ogni determinazione con la capacità ed i poteri del privato datore di lavoro (art. 5 e 6).</w:t>
      </w:r>
    </w:p>
    <w:p w14:paraId="7E2CDA3D" w14:textId="77777777" w:rsidR="00117C81" w:rsidRPr="00853781" w:rsidRDefault="00117C81" w:rsidP="00117C81">
      <w:pPr>
        <w:spacing w:before="240"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In via preliminare, per quanto concerne l’assunzione di nuovo personale, sia dirigenziale che non dirigenziale, la disciplina di riferimento è contenuta, tra l’altro, nell’art. 6 del citato d.lgs., a mente del quale:</w:t>
      </w:r>
    </w:p>
    <w:p w14:paraId="19BD4249" w14:textId="00921078" w:rsidR="00117C81" w:rsidRPr="00853781" w:rsidRDefault="00117C81" w:rsidP="00990D9C">
      <w:pPr>
        <w:spacing w:before="240" w:after="240" w:line="240" w:lineRule="auto"/>
        <w:ind w:left="700"/>
        <w:rPr>
          <w:rFonts w:eastAsia="Calibri" w:cstheme="minorHAnsi"/>
          <w:color w:val="002060"/>
          <w:sz w:val="24"/>
          <w:szCs w:val="24"/>
          <w:lang w:eastAsia="it-IT"/>
        </w:rPr>
      </w:pPr>
      <w:r w:rsidRPr="00853781">
        <w:rPr>
          <w:rFonts w:eastAsia="Calibri" w:cstheme="minorHAnsi"/>
          <w:color w:val="002060"/>
          <w:sz w:val="24"/>
          <w:szCs w:val="24"/>
          <w:lang w:eastAsia="it-IT"/>
        </w:rPr>
        <w:t xml:space="preserve">“1. </w:t>
      </w:r>
      <w:r w:rsidRPr="00853781">
        <w:rPr>
          <w:rFonts w:eastAsia="Calibri" w:cstheme="minorHAnsi"/>
          <w:i/>
          <w:color w:val="002060"/>
          <w:sz w:val="24"/>
          <w:szCs w:val="24"/>
          <w:lang w:eastAsia="it-IT"/>
        </w:rPr>
        <w:t>Le amministrazioni pubbliche definiscono l'organizzazione degli uffici per le finalità indicate all'articolo 1, comma 1, adottando, in conformità al piano triennale dei fabbisogni di cui al comma 2, gli atti previsti dai</w:t>
      </w:r>
      <w:r w:rsidR="008C5000">
        <w:rPr>
          <w:rFonts w:eastAsia="Calibri" w:cstheme="minorHAnsi"/>
          <w:i/>
          <w:color w:val="002060"/>
          <w:sz w:val="24"/>
          <w:szCs w:val="24"/>
          <w:lang w:eastAsia="it-IT"/>
        </w:rPr>
        <w:t xml:space="preserve"> </w:t>
      </w:r>
      <w:r w:rsidRPr="00853781">
        <w:rPr>
          <w:rFonts w:eastAsia="Calibri" w:cstheme="minorHAnsi"/>
          <w:i/>
          <w:color w:val="002060"/>
          <w:sz w:val="24"/>
          <w:szCs w:val="24"/>
          <w:lang w:eastAsia="it-IT"/>
        </w:rPr>
        <w:t>rispettivi ordinamenti, previa  informazione sindacale, ove prevista nei contratti collettivi nazionali”.</w:t>
      </w:r>
    </w:p>
    <w:p w14:paraId="0CA4A232" w14:textId="77777777" w:rsidR="00117C81" w:rsidRPr="00853781" w:rsidRDefault="00117C81" w:rsidP="00117C81">
      <w:pPr>
        <w:spacing w:before="240"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Del medesimo tenore anche l’art. 1, co. 3 del D.P.R. 25 luglio 1997, n. 404 ai sensi del quale il Collegio procede, di norma con cadenza triennale, alla determinazione della dotazione organica necessaria ad assicurare l’espletamento delle funzioni e dei compiti istituzionali, anche prevedendo contingenti di personale a tempo parziale.</w:t>
      </w:r>
    </w:p>
    <w:p w14:paraId="22EF0A12" w14:textId="77777777" w:rsidR="00117C81" w:rsidRPr="00853781" w:rsidRDefault="00117C81" w:rsidP="00117C81">
      <w:pPr>
        <w:spacing w:before="240"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Nella programmazione di assunzione di nuovo personale assume rilievo anche l’aspetto finanziario. In effetti, il comma 3 del citato art. 6 prevede che gli Enti predispongano il piano triennale del fabbisogno per una corretta pianificazione delle politiche di personale e di reclutamento di nuove risorse conciliando le esigenze degli uffici con il rispetto della sostenibilità finanziaria delle scelte organizzative che devono essere ispirate ad efficienza, economicità, trasparenza ed imparzialità.</w:t>
      </w:r>
    </w:p>
    <w:p w14:paraId="476206F7" w14:textId="77777777" w:rsidR="00117C81" w:rsidRPr="00853781" w:rsidRDefault="00117C81" w:rsidP="00117C81">
      <w:pPr>
        <w:spacing w:before="240"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lastRenderedPageBreak/>
        <w:t>Sempre in tema di risorse finanziarie legate al personale, in un’ottica di lungo periodo, si evidenzia la prescrizione contenuta nell’art. 8, comma 1, d.lgs. citato, ai sensi del quale gli Ordini, in quanto pubblica amministrazione:</w:t>
      </w:r>
    </w:p>
    <w:p w14:paraId="16B214F0" w14:textId="77777777" w:rsidR="00117C81" w:rsidRPr="00853781" w:rsidRDefault="00117C81" w:rsidP="00117C81">
      <w:pPr>
        <w:spacing w:before="240" w:after="240" w:line="240" w:lineRule="auto"/>
        <w:ind w:left="700"/>
        <w:jc w:val="both"/>
        <w:rPr>
          <w:rFonts w:eastAsia="Calibri" w:cstheme="minorHAnsi"/>
          <w:color w:val="002060"/>
          <w:sz w:val="24"/>
          <w:szCs w:val="24"/>
          <w:lang w:eastAsia="it-IT"/>
        </w:rPr>
      </w:pPr>
      <w:r w:rsidRPr="00853781">
        <w:rPr>
          <w:rFonts w:eastAsia="Calibri" w:cstheme="minorHAnsi"/>
          <w:i/>
          <w:color w:val="002060"/>
          <w:sz w:val="24"/>
          <w:szCs w:val="24"/>
          <w:lang w:eastAsia="it-IT"/>
        </w:rPr>
        <w:t>«adottano tutte le misure affinché' la spesa per il proprio personale sia evidente, certa e prevedibile nella evoluzione. Le risorse finanziarie destinate a tale spesa sono determinate   in   base   alle compatibilità economico-finanziarie definite nei documenti di programmazione e di bilancio».</w:t>
      </w:r>
    </w:p>
    <w:p w14:paraId="48DA018C" w14:textId="77777777" w:rsidR="00117C81" w:rsidRPr="00853781" w:rsidRDefault="00117C81" w:rsidP="00117C81">
      <w:pPr>
        <w:spacing w:before="240" w:after="24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In definitiva, la programmazione del fabbisogno assume il valore e il significato di un atto propedeutico essenziale, in mancanza del quale non può procedersi a nuova assunzione. In tal senso depone il comma 6 del citato art. 6, per il quale:</w:t>
      </w:r>
    </w:p>
    <w:p w14:paraId="6E7A20D6" w14:textId="09AF1097" w:rsidR="00117C81" w:rsidRPr="00853781" w:rsidRDefault="00117C81" w:rsidP="00117C81">
      <w:pPr>
        <w:spacing w:before="240" w:after="240" w:line="240" w:lineRule="auto"/>
        <w:ind w:left="700"/>
        <w:jc w:val="both"/>
        <w:rPr>
          <w:rFonts w:eastAsia="Calibri" w:cstheme="minorHAnsi"/>
          <w:color w:val="002060"/>
          <w:sz w:val="24"/>
          <w:szCs w:val="24"/>
          <w:lang w:eastAsia="it-IT"/>
        </w:rPr>
      </w:pPr>
      <w:r w:rsidRPr="00853781">
        <w:rPr>
          <w:rFonts w:eastAsia="Calibri" w:cstheme="minorHAnsi"/>
          <w:i/>
          <w:color w:val="002060"/>
          <w:sz w:val="24"/>
          <w:szCs w:val="24"/>
          <w:lang w:eastAsia="it-IT"/>
        </w:rPr>
        <w:t>“Le amministrazioni pubbliche che non provvedono agli adempimenti di cui al presente articolo non possono assumere nuovo personale”.</w:t>
      </w:r>
    </w:p>
    <w:p w14:paraId="69DD6E58" w14:textId="696C02CD" w:rsidR="00117C81" w:rsidRPr="00853781" w:rsidRDefault="00117C81" w:rsidP="00741080">
      <w:pPr>
        <w:spacing w:after="120" w:line="240" w:lineRule="auto"/>
        <w:rPr>
          <w:rFonts w:eastAsia="Calibri" w:cstheme="minorHAnsi"/>
          <w:color w:val="002060"/>
          <w:sz w:val="24"/>
          <w:szCs w:val="24"/>
          <w:lang w:eastAsia="it-IT"/>
        </w:rPr>
      </w:pPr>
      <w:r w:rsidRPr="00853781">
        <w:rPr>
          <w:rFonts w:eastAsia="Calibri" w:cstheme="minorHAnsi"/>
          <w:color w:val="002060"/>
          <w:sz w:val="24"/>
          <w:szCs w:val="24"/>
          <w:lang w:eastAsia="it-IT"/>
        </w:rPr>
        <w:t>Ai fini assunzionali, resta fermo per i predetti enti l’articolo 1, comma 505, terzo periodo, della legge 27 dicembre 2006, n.296, secondo cui per quanto riguarda le spese di personale le predette</w:t>
      </w:r>
      <w:r w:rsidR="00741080" w:rsidRPr="00853781">
        <w:rPr>
          <w:rFonts w:eastAsia="Calibri" w:cstheme="minorHAnsi"/>
          <w:color w:val="002060"/>
          <w:sz w:val="24"/>
          <w:szCs w:val="24"/>
          <w:lang w:eastAsia="it-IT"/>
        </w:rPr>
        <w:t xml:space="preserve"> </w:t>
      </w:r>
      <w:r w:rsidRPr="00853781">
        <w:rPr>
          <w:rFonts w:eastAsia="Calibri" w:cstheme="minorHAnsi"/>
          <w:color w:val="002060"/>
          <w:sz w:val="24"/>
          <w:szCs w:val="24"/>
          <w:lang w:eastAsia="it-IT"/>
        </w:rPr>
        <w:t>amministrazioni adeguano le proprie politiche ai principi di contenimento e razionalizzazione di cui alla medesima legge.</w:t>
      </w:r>
    </w:p>
    <w:p w14:paraId="6FB46569" w14:textId="77777777" w:rsidR="00BC16C8" w:rsidRPr="00853781" w:rsidRDefault="00BC16C8" w:rsidP="00741080">
      <w:pPr>
        <w:spacing w:after="120" w:line="240" w:lineRule="auto"/>
        <w:rPr>
          <w:rFonts w:eastAsia="Calibri" w:cstheme="minorHAnsi"/>
          <w:color w:val="002060"/>
          <w:sz w:val="24"/>
          <w:szCs w:val="24"/>
          <w:lang w:eastAsia="it-IT"/>
        </w:rPr>
      </w:pPr>
    </w:p>
    <w:p w14:paraId="6EDF06B3" w14:textId="77777777" w:rsidR="00117C81" w:rsidRPr="00853781" w:rsidRDefault="00117C81" w:rsidP="00117C81">
      <w:pPr>
        <w:keepNext/>
        <w:keepLines/>
        <w:numPr>
          <w:ilvl w:val="0"/>
          <w:numId w:val="3"/>
        </w:numPr>
        <w:spacing w:before="240" w:after="240" w:line="240" w:lineRule="auto"/>
        <w:jc w:val="both"/>
        <w:outlineLvl w:val="0"/>
        <w:rPr>
          <w:rFonts w:eastAsia="Calibri" w:cstheme="minorHAnsi"/>
          <w:b/>
          <w:bCs/>
          <w:color w:val="002060"/>
          <w:sz w:val="24"/>
          <w:szCs w:val="32"/>
          <w:u w:val="single"/>
          <w:lang w:eastAsia="it-IT"/>
        </w:rPr>
      </w:pPr>
      <w:r w:rsidRPr="00853781">
        <w:rPr>
          <w:rFonts w:eastAsia="Calibri" w:cstheme="minorHAnsi"/>
          <w:b/>
          <w:bCs/>
          <w:color w:val="002060"/>
          <w:sz w:val="24"/>
          <w:szCs w:val="32"/>
          <w:u w:val="single"/>
          <w:lang w:eastAsia="it-IT"/>
        </w:rPr>
        <w:t>Dotazione organica e analisi del fabbisogno di personale</w:t>
      </w:r>
    </w:p>
    <w:p w14:paraId="7D10EDF8" w14:textId="77777777" w:rsidR="00117C81" w:rsidRPr="00853781" w:rsidRDefault="00117C81" w:rsidP="008160A2">
      <w:pPr>
        <w:spacing w:after="120" w:line="240" w:lineRule="auto"/>
        <w:jc w:val="both"/>
        <w:rPr>
          <w:rFonts w:eastAsia="Calibri" w:cstheme="minorHAnsi"/>
          <w:color w:val="002060"/>
          <w:sz w:val="24"/>
          <w:szCs w:val="24"/>
          <w:lang w:eastAsia="it-IT"/>
        </w:rPr>
      </w:pPr>
      <w:r w:rsidRPr="00853781">
        <w:rPr>
          <w:rFonts w:eastAsia="Calibri" w:cstheme="minorHAnsi"/>
          <w:color w:val="002060"/>
        </w:rPr>
        <w:t>L’attuale dotazione organica del Collegio è così composta:</w:t>
      </w:r>
    </w:p>
    <w:p w14:paraId="0D86477F" w14:textId="1F55B87B" w:rsidR="00117C81" w:rsidRPr="00853781" w:rsidRDefault="00117C81" w:rsidP="008160A2">
      <w:pPr>
        <w:spacing w:after="0" w:line="240" w:lineRule="auto"/>
        <w:ind w:left="709" w:hanging="142"/>
        <w:jc w:val="both"/>
        <w:rPr>
          <w:rFonts w:eastAsia="Calibri" w:cstheme="minorHAnsi"/>
          <w:color w:val="002060"/>
          <w:sz w:val="24"/>
          <w:szCs w:val="24"/>
          <w:lang w:eastAsia="it-IT"/>
        </w:rPr>
      </w:pPr>
      <w:r w:rsidRPr="00853781">
        <w:rPr>
          <w:rFonts w:eastAsia="Calibri" w:cstheme="minorHAnsi"/>
          <w:color w:val="002060"/>
          <w:sz w:val="24"/>
          <w:szCs w:val="24"/>
          <w:lang w:eastAsia="it-IT"/>
        </w:rPr>
        <w:t>- N.</w:t>
      </w:r>
      <w:r w:rsidR="008160A2" w:rsidRPr="00853781">
        <w:rPr>
          <w:rFonts w:eastAsia="Calibri" w:cstheme="minorHAnsi"/>
          <w:color w:val="002060"/>
          <w:sz w:val="24"/>
          <w:szCs w:val="24"/>
          <w:lang w:eastAsia="it-IT"/>
        </w:rPr>
        <w:t xml:space="preserve"> </w:t>
      </w:r>
      <w:r w:rsidRPr="00853781">
        <w:rPr>
          <w:rFonts w:eastAsia="Calibri" w:cstheme="minorHAnsi"/>
          <w:color w:val="002060"/>
          <w:sz w:val="24"/>
          <w:szCs w:val="24"/>
          <w:lang w:eastAsia="it-IT"/>
        </w:rPr>
        <w:t>1</w:t>
      </w:r>
      <w:r w:rsidR="008160A2" w:rsidRPr="00853781">
        <w:rPr>
          <w:rFonts w:eastAsia="Calibri" w:cstheme="minorHAnsi"/>
          <w:color w:val="002060"/>
          <w:sz w:val="24"/>
          <w:szCs w:val="24"/>
          <w:lang w:eastAsia="it-IT"/>
        </w:rPr>
        <w:t xml:space="preserve"> </w:t>
      </w:r>
      <w:r w:rsidRPr="00853781">
        <w:rPr>
          <w:rFonts w:eastAsia="Calibri" w:cstheme="minorHAnsi"/>
          <w:color w:val="002060"/>
          <w:sz w:val="24"/>
          <w:szCs w:val="24"/>
          <w:lang w:eastAsia="it-IT"/>
        </w:rPr>
        <w:t xml:space="preserve">dipendente posizione economica – in Area C - ad oggi scoperta causa </w:t>
      </w:r>
      <w:r w:rsidR="008160A2" w:rsidRPr="00853781">
        <w:rPr>
          <w:rFonts w:eastAsia="Calibri" w:cstheme="minorHAnsi"/>
          <w:color w:val="002060"/>
          <w:sz w:val="24"/>
          <w:szCs w:val="24"/>
          <w:lang w:eastAsia="it-IT"/>
        </w:rPr>
        <w:t xml:space="preserve">      </w:t>
      </w:r>
      <w:r w:rsidR="008160A2" w:rsidRPr="00853781">
        <w:rPr>
          <w:rFonts w:eastAsia="Calibri" w:cstheme="minorHAnsi"/>
          <w:color w:val="002060"/>
          <w:sz w:val="24"/>
          <w:szCs w:val="24"/>
          <w:lang w:eastAsia="it-IT"/>
        </w:rPr>
        <w:tab/>
      </w:r>
      <w:r w:rsidRPr="00853781">
        <w:rPr>
          <w:rFonts w:eastAsia="Calibri" w:cstheme="minorHAnsi"/>
          <w:color w:val="002060"/>
          <w:sz w:val="24"/>
          <w:szCs w:val="24"/>
          <w:lang w:eastAsia="it-IT"/>
        </w:rPr>
        <w:t xml:space="preserve">pensionamento </w:t>
      </w:r>
    </w:p>
    <w:p w14:paraId="07423A95" w14:textId="076F4130" w:rsidR="008160A2" w:rsidRPr="00853781" w:rsidRDefault="00117C81" w:rsidP="008160A2">
      <w:pPr>
        <w:spacing w:after="120" w:line="240" w:lineRule="auto"/>
        <w:ind w:left="709" w:hanging="142"/>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  N. 2 dipendente posizione economica – in Area B </w:t>
      </w:r>
    </w:p>
    <w:p w14:paraId="5FD7A5D0" w14:textId="77777777" w:rsidR="00990D9C" w:rsidRPr="00853781" w:rsidRDefault="00990D9C" w:rsidP="008160A2">
      <w:pPr>
        <w:spacing w:after="120" w:line="240" w:lineRule="auto"/>
        <w:ind w:left="709" w:hanging="142"/>
        <w:jc w:val="both"/>
        <w:rPr>
          <w:rFonts w:eastAsia="Calibri" w:cstheme="minorHAnsi"/>
          <w:color w:val="002060"/>
          <w:sz w:val="24"/>
          <w:szCs w:val="24"/>
          <w:lang w:eastAsia="it-IT"/>
        </w:rPr>
      </w:pPr>
    </w:p>
    <w:p w14:paraId="650C894B" w14:textId="77777777" w:rsidR="00117C81" w:rsidRPr="00853781" w:rsidRDefault="00117C81" w:rsidP="00117C81">
      <w:pPr>
        <w:spacing w:after="12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A tutt’oggi, i rapporti di lavoro in essere riguardano:</w:t>
      </w:r>
    </w:p>
    <w:p w14:paraId="2CFBE17B" w14:textId="62A5F306" w:rsidR="00117C81" w:rsidRPr="00853781" w:rsidRDefault="00117C81" w:rsidP="00117C81">
      <w:pPr>
        <w:numPr>
          <w:ilvl w:val="0"/>
          <w:numId w:val="6"/>
        </w:numPr>
        <w:spacing w:after="120" w:line="240" w:lineRule="auto"/>
        <w:ind w:left="851" w:hanging="284"/>
        <w:contextualSpacing/>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N. </w:t>
      </w:r>
      <w:r w:rsidR="00EA6E25" w:rsidRPr="00853781">
        <w:rPr>
          <w:rFonts w:eastAsia="Calibri" w:cstheme="minorHAnsi"/>
          <w:color w:val="002060"/>
          <w:sz w:val="24"/>
          <w:szCs w:val="24"/>
          <w:lang w:eastAsia="it-IT"/>
        </w:rPr>
        <w:t>2</w:t>
      </w:r>
      <w:r w:rsidRPr="00853781">
        <w:rPr>
          <w:rFonts w:eastAsia="Calibri" w:cstheme="minorHAnsi"/>
          <w:color w:val="002060"/>
          <w:sz w:val="24"/>
          <w:szCs w:val="24"/>
          <w:lang w:eastAsia="it-IT"/>
        </w:rPr>
        <w:t xml:space="preserve"> dipendente posizione economica in Area B </w:t>
      </w:r>
      <w:r w:rsidR="00990D9C" w:rsidRPr="00853781">
        <w:rPr>
          <w:rFonts w:eastAsia="Calibri" w:cstheme="minorHAnsi"/>
          <w:color w:val="002060"/>
          <w:sz w:val="24"/>
          <w:szCs w:val="24"/>
          <w:lang w:eastAsia="it-IT"/>
        </w:rPr>
        <w:t>(di cui una a termine in data 28 Febbraio 2025)</w:t>
      </w:r>
    </w:p>
    <w:p w14:paraId="565A47C9" w14:textId="77342897" w:rsidR="00990D9C" w:rsidRPr="00853781" w:rsidRDefault="00990D9C" w:rsidP="00990D9C">
      <w:pPr>
        <w:numPr>
          <w:ilvl w:val="0"/>
          <w:numId w:val="6"/>
        </w:numPr>
        <w:spacing w:after="120" w:line="240" w:lineRule="auto"/>
        <w:ind w:left="851" w:hanging="284"/>
        <w:contextualSpacing/>
        <w:jc w:val="both"/>
        <w:rPr>
          <w:rFonts w:eastAsia="Calibri" w:cstheme="minorHAnsi"/>
          <w:color w:val="002060"/>
          <w:sz w:val="24"/>
          <w:szCs w:val="24"/>
          <w:lang w:eastAsia="it-IT"/>
        </w:rPr>
      </w:pPr>
      <w:r w:rsidRPr="00853781">
        <w:rPr>
          <w:rFonts w:eastAsia="Calibri" w:cstheme="minorHAnsi"/>
          <w:color w:val="002060"/>
          <w:sz w:val="24"/>
          <w:szCs w:val="24"/>
          <w:lang w:eastAsia="it-IT"/>
        </w:rPr>
        <w:t>N. 1 collaborazione interinale con contratto a tempo determinato (a partire dal 8 Gennaio 2025)</w:t>
      </w:r>
    </w:p>
    <w:p w14:paraId="479CA669" w14:textId="77777777" w:rsidR="00117C81" w:rsidRPr="00853781" w:rsidRDefault="00117C81" w:rsidP="00117C81">
      <w:pPr>
        <w:spacing w:after="0" w:line="240" w:lineRule="auto"/>
        <w:ind w:left="1080" w:right="-885"/>
        <w:jc w:val="both"/>
        <w:rPr>
          <w:rFonts w:eastAsia="Calibri" w:cstheme="minorHAnsi"/>
          <w:color w:val="002060"/>
          <w:sz w:val="24"/>
          <w:szCs w:val="24"/>
          <w:lang w:eastAsia="it-IT"/>
        </w:rPr>
      </w:pPr>
    </w:p>
    <w:p w14:paraId="577C59C2" w14:textId="77777777" w:rsidR="00751AED" w:rsidRPr="00853781" w:rsidRDefault="00751AED" w:rsidP="004A3FB6">
      <w:pPr>
        <w:spacing w:after="120" w:line="240" w:lineRule="auto"/>
        <w:ind w:right="-1"/>
        <w:jc w:val="both"/>
        <w:rPr>
          <w:rFonts w:eastAsia="Garamond" w:cstheme="minorHAnsi"/>
          <w:color w:val="002060"/>
          <w:sz w:val="24"/>
          <w:szCs w:val="24"/>
          <w:lang w:eastAsia="it-IT"/>
        </w:rPr>
      </w:pPr>
    </w:p>
    <w:p w14:paraId="6F388AB2" w14:textId="02C74DC2" w:rsidR="00990D9C" w:rsidRPr="00853781" w:rsidRDefault="00737173" w:rsidP="00990D9C">
      <w:pPr>
        <w:spacing w:after="120" w:line="240" w:lineRule="auto"/>
        <w:ind w:right="-1"/>
        <w:jc w:val="both"/>
        <w:rPr>
          <w:rFonts w:eastAsia="Garamond" w:cstheme="minorHAnsi"/>
          <w:color w:val="002060"/>
          <w:sz w:val="24"/>
          <w:szCs w:val="24"/>
          <w:lang w:eastAsia="it-IT"/>
        </w:rPr>
      </w:pPr>
      <w:r w:rsidRPr="00853781">
        <w:rPr>
          <w:rFonts w:eastAsia="Calibri" w:cstheme="minorHAnsi"/>
          <w:color w:val="002060"/>
          <w:sz w:val="24"/>
          <w:szCs w:val="24"/>
          <w:lang w:eastAsia="it-IT"/>
        </w:rPr>
        <w:t xml:space="preserve">Per </w:t>
      </w:r>
      <w:r w:rsidR="00EA6E25" w:rsidRPr="00853781">
        <w:rPr>
          <w:rFonts w:eastAsia="Calibri" w:cstheme="minorHAnsi"/>
          <w:color w:val="002060"/>
          <w:sz w:val="24"/>
          <w:szCs w:val="24"/>
          <w:lang w:eastAsia="it-IT"/>
        </w:rPr>
        <w:t>gli anni 202</w:t>
      </w:r>
      <w:r w:rsidR="00990D9C" w:rsidRPr="00853781">
        <w:rPr>
          <w:rFonts w:eastAsia="Calibri" w:cstheme="minorHAnsi"/>
          <w:color w:val="002060"/>
          <w:sz w:val="24"/>
          <w:szCs w:val="24"/>
          <w:lang w:eastAsia="it-IT"/>
        </w:rPr>
        <w:t>5</w:t>
      </w:r>
      <w:r w:rsidR="00EA6E25" w:rsidRPr="00853781">
        <w:rPr>
          <w:rFonts w:eastAsia="Calibri" w:cstheme="minorHAnsi"/>
          <w:color w:val="002060"/>
          <w:sz w:val="24"/>
          <w:szCs w:val="24"/>
          <w:lang w:eastAsia="it-IT"/>
        </w:rPr>
        <w:t>, 202</w:t>
      </w:r>
      <w:r w:rsidR="00990D9C" w:rsidRPr="00853781">
        <w:rPr>
          <w:rFonts w:eastAsia="Calibri" w:cstheme="minorHAnsi"/>
          <w:color w:val="002060"/>
          <w:sz w:val="24"/>
          <w:szCs w:val="24"/>
          <w:lang w:eastAsia="it-IT"/>
        </w:rPr>
        <w:t>6</w:t>
      </w:r>
      <w:r w:rsidR="00751AED" w:rsidRPr="00853781">
        <w:rPr>
          <w:rFonts w:eastAsia="Calibri" w:cstheme="minorHAnsi"/>
          <w:color w:val="002060"/>
          <w:sz w:val="24"/>
          <w:szCs w:val="24"/>
          <w:lang w:eastAsia="it-IT"/>
        </w:rPr>
        <w:t xml:space="preserve"> e</w:t>
      </w:r>
      <w:r w:rsidR="00EA6E25" w:rsidRPr="00853781">
        <w:rPr>
          <w:rFonts w:eastAsia="Calibri" w:cstheme="minorHAnsi"/>
          <w:color w:val="002060"/>
          <w:sz w:val="24"/>
          <w:szCs w:val="24"/>
          <w:lang w:eastAsia="it-IT"/>
        </w:rPr>
        <w:t xml:space="preserve"> 202</w:t>
      </w:r>
      <w:r w:rsidR="00990D9C" w:rsidRPr="00853781">
        <w:rPr>
          <w:rFonts w:eastAsia="Calibri" w:cstheme="minorHAnsi"/>
          <w:color w:val="002060"/>
          <w:sz w:val="24"/>
          <w:szCs w:val="24"/>
          <w:lang w:eastAsia="it-IT"/>
        </w:rPr>
        <w:t>7</w:t>
      </w:r>
      <w:r w:rsidRPr="00853781">
        <w:rPr>
          <w:rFonts w:eastAsia="Calibri" w:cstheme="minorHAnsi"/>
          <w:color w:val="002060"/>
          <w:sz w:val="24"/>
          <w:szCs w:val="24"/>
          <w:lang w:eastAsia="it-IT"/>
        </w:rPr>
        <w:t xml:space="preserve"> </w:t>
      </w:r>
      <w:r w:rsidR="00990D9C" w:rsidRPr="00853781">
        <w:rPr>
          <w:rFonts w:eastAsia="Garamond" w:cstheme="minorHAnsi"/>
          <w:color w:val="002060"/>
          <w:sz w:val="24"/>
          <w:szCs w:val="24"/>
          <w:lang w:eastAsia="it-IT"/>
        </w:rPr>
        <w:t xml:space="preserve">il Collegio Provinciale dei Geometri e G.L. di Piacenza, in base ai fabbisogni attuali, preso atto che il costo del lavoro derivante da tale programmazione rientra nei limiti della spesa per il personale in servizio e di quella connessa alle facoltà assunzionali previste a legislazione vigente, nonché nei limiti imposti in tema di contenimento della spesa del personale, ritiene di procedere a nuove assunzioni, o </w:t>
      </w:r>
      <w:r w:rsidR="00990D9C" w:rsidRPr="00853781">
        <w:rPr>
          <w:rFonts w:eastAsia="Garamond" w:cstheme="minorHAnsi"/>
          <w:color w:val="002060"/>
          <w:sz w:val="24"/>
          <w:szCs w:val="24"/>
          <w:lang w:eastAsia="it-IT"/>
        </w:rPr>
        <w:lastRenderedPageBreak/>
        <w:t xml:space="preserve">all’utilizzo di lavoratori in somministrazione a tempo determinato al fine di sopperire alle necessità contingenti, nel rispetto della normativa di settore, valorizzando in primis le competenze e la professionalità del personale in servizio, sempre nell’ambito del potenziale limite finanziario. </w:t>
      </w:r>
    </w:p>
    <w:p w14:paraId="4F79617C" w14:textId="77777777" w:rsidR="00990D9C" w:rsidRPr="00853781" w:rsidRDefault="00990D9C" w:rsidP="00990D9C">
      <w:pPr>
        <w:pBdr>
          <w:top w:val="nil"/>
          <w:left w:val="nil"/>
          <w:bottom w:val="nil"/>
          <w:right w:val="nil"/>
          <w:between w:val="nil"/>
        </w:pBdr>
        <w:spacing w:after="0" w:line="240" w:lineRule="auto"/>
        <w:jc w:val="both"/>
        <w:rPr>
          <w:rFonts w:eastAsia="Calibri" w:cstheme="minorHAnsi"/>
          <w:color w:val="002060"/>
          <w:sz w:val="24"/>
          <w:szCs w:val="24"/>
          <w:lang w:eastAsia="it-IT"/>
        </w:rPr>
      </w:pPr>
    </w:p>
    <w:p w14:paraId="566DA5EC" w14:textId="739C88DD" w:rsidR="00990D9C" w:rsidRPr="00853781" w:rsidRDefault="00990D9C" w:rsidP="00990D9C">
      <w:pPr>
        <w:pBdr>
          <w:top w:val="nil"/>
          <w:left w:val="nil"/>
          <w:bottom w:val="nil"/>
          <w:right w:val="nil"/>
          <w:between w:val="nil"/>
        </w:pBd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Quanto alla qualifica e profilo professionale da assumere nel corso del</w:t>
      </w:r>
      <w:r w:rsidR="00EF4AC0" w:rsidRPr="00853781">
        <w:rPr>
          <w:rFonts w:eastAsia="Calibri" w:cstheme="minorHAnsi"/>
          <w:color w:val="002060"/>
          <w:sz w:val="24"/>
          <w:szCs w:val="24"/>
          <w:lang w:eastAsia="it-IT"/>
        </w:rPr>
        <w:t xml:space="preserve"> triennio 2025-2027</w:t>
      </w:r>
      <w:r w:rsidRPr="00853781">
        <w:rPr>
          <w:rFonts w:eastAsia="Calibri" w:cstheme="minorHAnsi"/>
          <w:color w:val="002060"/>
          <w:sz w:val="24"/>
          <w:szCs w:val="24"/>
          <w:lang w:eastAsia="it-IT"/>
        </w:rPr>
        <w:t xml:space="preserve">, il paradigma di riferimento è dato dal sistema di classificazione del personale previsto dal CCNL di riferimento (art. 6 CCNL 1.10.2007 EPNE), per il quale l’ordinamento professionale è articolato nelle aree A, B e C. </w:t>
      </w:r>
    </w:p>
    <w:p w14:paraId="47832DBE" w14:textId="5CAE939E" w:rsidR="00990D9C" w:rsidRPr="00853781" w:rsidRDefault="00990D9C" w:rsidP="00990D9C">
      <w:pPr>
        <w:pBdr>
          <w:top w:val="nil"/>
          <w:left w:val="nil"/>
          <w:bottom w:val="nil"/>
          <w:right w:val="nil"/>
          <w:between w:val="nil"/>
        </w:pBd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In particolare, l’analisi dei fabbisogni di personale per il triennio 202</w:t>
      </w:r>
      <w:r w:rsidR="007B2B11" w:rsidRPr="00853781">
        <w:rPr>
          <w:rFonts w:eastAsia="Calibri" w:cstheme="minorHAnsi"/>
          <w:color w:val="002060"/>
          <w:sz w:val="24"/>
          <w:szCs w:val="24"/>
          <w:lang w:eastAsia="it-IT"/>
        </w:rPr>
        <w:t>5</w:t>
      </w:r>
      <w:r w:rsidRPr="00853781">
        <w:rPr>
          <w:rFonts w:eastAsia="Calibri" w:cstheme="minorHAnsi"/>
          <w:color w:val="002060"/>
          <w:sz w:val="24"/>
          <w:szCs w:val="24"/>
          <w:lang w:eastAsia="it-IT"/>
        </w:rPr>
        <w:t>-202</w:t>
      </w:r>
      <w:r w:rsidR="007B2B11" w:rsidRPr="00853781">
        <w:rPr>
          <w:rFonts w:eastAsia="Calibri" w:cstheme="minorHAnsi"/>
          <w:color w:val="002060"/>
          <w:sz w:val="24"/>
          <w:szCs w:val="24"/>
          <w:lang w:eastAsia="it-IT"/>
        </w:rPr>
        <w:t>7</w:t>
      </w:r>
      <w:r w:rsidRPr="00853781">
        <w:rPr>
          <w:rFonts w:eastAsia="Garamond" w:cstheme="minorHAnsi"/>
          <w:color w:val="002060"/>
          <w:sz w:val="24"/>
          <w:szCs w:val="24"/>
          <w:lang w:eastAsia="it-IT"/>
        </w:rPr>
        <w:t xml:space="preserve"> evidenzia</w:t>
      </w:r>
      <w:r w:rsidRPr="00853781">
        <w:rPr>
          <w:rFonts w:eastAsia="Calibri" w:cstheme="minorHAnsi"/>
          <w:color w:val="002060"/>
          <w:sz w:val="16"/>
          <w:szCs w:val="16"/>
          <w:lang w:eastAsia="it-IT"/>
        </w:rPr>
        <w:t xml:space="preserve"> </w:t>
      </w:r>
      <w:r w:rsidRPr="00853781">
        <w:rPr>
          <w:rFonts w:eastAsia="Calibri" w:cstheme="minorHAnsi"/>
          <w:color w:val="002060"/>
          <w:sz w:val="24"/>
          <w:szCs w:val="24"/>
          <w:lang w:eastAsia="it-IT"/>
        </w:rPr>
        <w:t>l’esigenza di avere una figura professionale che possa assolvere alle mansioni previste dall’Area B, le cui competenze sono riportate nella tabella seguente:</w:t>
      </w:r>
    </w:p>
    <w:p w14:paraId="0E7EB827" w14:textId="77777777" w:rsidR="00990D9C" w:rsidRPr="00853781" w:rsidRDefault="00990D9C" w:rsidP="00990D9C">
      <w:pPr>
        <w:pBdr>
          <w:top w:val="nil"/>
          <w:left w:val="nil"/>
          <w:bottom w:val="nil"/>
          <w:right w:val="nil"/>
          <w:between w:val="nil"/>
        </w:pBdr>
        <w:spacing w:after="0" w:line="240" w:lineRule="auto"/>
        <w:jc w:val="both"/>
        <w:rPr>
          <w:rFonts w:eastAsia="Calibri" w:cstheme="minorHAnsi"/>
          <w:color w:val="002060"/>
          <w:sz w:val="24"/>
          <w:szCs w:val="24"/>
          <w:lang w:eastAsia="it-IT"/>
        </w:rPr>
      </w:pPr>
    </w:p>
    <w:tbl>
      <w:tblPr>
        <w:tblW w:w="8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5"/>
        <w:gridCol w:w="6660"/>
      </w:tblGrid>
      <w:tr w:rsidR="00853781" w:rsidRPr="00853781" w14:paraId="34F5A02C" w14:textId="77777777" w:rsidTr="00EA2AE7">
        <w:tc>
          <w:tcPr>
            <w:tcW w:w="8835" w:type="dxa"/>
            <w:gridSpan w:val="2"/>
          </w:tcPr>
          <w:p w14:paraId="2E6B79C0"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cstheme="minorHAnsi"/>
                <w:color w:val="002060"/>
              </w:rPr>
              <w:br w:type="page"/>
            </w:r>
            <w:r w:rsidRPr="00853781">
              <w:rPr>
                <w:rFonts w:eastAsia="Calibri" w:cstheme="minorHAnsi"/>
                <w:b/>
                <w:color w:val="002060"/>
                <w:sz w:val="24"/>
                <w:szCs w:val="24"/>
                <w:lang w:eastAsia="it-IT"/>
              </w:rPr>
              <w:t>Area B</w:t>
            </w:r>
          </w:p>
          <w:p w14:paraId="6C2A7C76" w14:textId="77777777" w:rsidR="00990D9C" w:rsidRPr="00853781" w:rsidRDefault="00990D9C" w:rsidP="00EA2AE7">
            <w:pPr>
              <w:pBdr>
                <w:top w:val="nil"/>
                <w:left w:val="nil"/>
                <w:bottom w:val="nil"/>
                <w:right w:val="nil"/>
                <w:between w:val="nil"/>
              </w:pBd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Appartengono a quest'area i lavoratori strutturalmente inseriti nel processo produttivo e nei sistemi di erogazione dei servizi, e che ne svolgono fasi e/o fasce di attività, nell’ambito di direttive di massima e di procedure predeterminate, anche attraverso la gestione di strumentazioni tecnologiche. Tale personale è chiamato a valutare nel merito i casi concreti e ad interpretare le istruzioni operative. Risponde inoltre dei risultati nel proprio contesto di lavoro.</w:t>
            </w:r>
          </w:p>
        </w:tc>
      </w:tr>
      <w:tr w:rsidR="00853781" w:rsidRPr="00853781" w14:paraId="2ED7947D" w14:textId="77777777" w:rsidTr="00EA2AE7">
        <w:tc>
          <w:tcPr>
            <w:tcW w:w="2175" w:type="dxa"/>
          </w:tcPr>
          <w:p w14:paraId="4E0E81A3"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eastAsia="Calibri" w:cstheme="minorHAnsi"/>
                <w:b/>
                <w:color w:val="002060"/>
                <w:sz w:val="24"/>
                <w:szCs w:val="24"/>
                <w:lang w:eastAsia="it-IT"/>
              </w:rPr>
              <w:t xml:space="preserve">Conoscenze: </w:t>
            </w:r>
          </w:p>
          <w:p w14:paraId="1D903943" w14:textId="77777777" w:rsidR="00990D9C" w:rsidRPr="00853781" w:rsidRDefault="00990D9C" w:rsidP="00EA2AE7">
            <w:pPr>
              <w:pBdr>
                <w:top w:val="nil"/>
                <w:left w:val="nil"/>
                <w:bottom w:val="nil"/>
                <w:right w:val="nil"/>
                <w:between w:val="nil"/>
              </w:pBdr>
              <w:spacing w:after="0" w:line="240" w:lineRule="auto"/>
              <w:jc w:val="both"/>
              <w:rPr>
                <w:rFonts w:eastAsia="Calibri" w:cstheme="minorHAnsi"/>
                <w:color w:val="002060"/>
                <w:sz w:val="24"/>
                <w:szCs w:val="24"/>
                <w:lang w:eastAsia="it-IT"/>
              </w:rPr>
            </w:pPr>
          </w:p>
        </w:tc>
        <w:tc>
          <w:tcPr>
            <w:tcW w:w="6660" w:type="dxa"/>
          </w:tcPr>
          <w:p w14:paraId="40F17A29"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conoscenze sul contesto di riferimento interno ed esterno, sull’ente e sulla sua organizzazione, sui prodotti/servizi e i relativi sistemi di erogazione, sulle normative interne ed esterne concernenti l’attività dell’ente, sui vincoli da rispettare e sulle attività; </w:t>
            </w:r>
          </w:p>
          <w:p w14:paraId="0AE840ED" w14:textId="77777777" w:rsidR="00990D9C" w:rsidRPr="00853781" w:rsidRDefault="00990D9C" w:rsidP="00EA2AE7">
            <w:pPr>
              <w:pBdr>
                <w:top w:val="nil"/>
                <w:left w:val="nil"/>
                <w:bottom w:val="nil"/>
                <w:right w:val="nil"/>
                <w:between w:val="nil"/>
              </w:pBd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conoscenze tecniche, metodologiche o specialistiche ovvero riferite al contesto socio-tecnico;</w:t>
            </w:r>
          </w:p>
          <w:p w14:paraId="0B0F8943"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conoscenze professionali di base riferite al processo o ai processi di pertinenza e, ove previsto, all’informatica applicata; </w:t>
            </w:r>
          </w:p>
          <w:p w14:paraId="6E11758D" w14:textId="77777777" w:rsidR="00990D9C" w:rsidRPr="00853781" w:rsidRDefault="00990D9C" w:rsidP="00EA2AE7">
            <w:pPr>
              <w:pBdr>
                <w:top w:val="nil"/>
                <w:left w:val="nil"/>
                <w:bottom w:val="nil"/>
                <w:right w:val="nil"/>
                <w:between w:val="nil"/>
              </w:pBd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conoscenze ed esperienze adeguate alle esigenze di governo delle procedure che caratterizzano il processo produttivo, in sintonia con il complesso dell’ambiente operativo.</w:t>
            </w:r>
          </w:p>
        </w:tc>
      </w:tr>
      <w:tr w:rsidR="00853781" w:rsidRPr="00853781" w14:paraId="42068913" w14:textId="77777777" w:rsidTr="00EA2AE7">
        <w:tc>
          <w:tcPr>
            <w:tcW w:w="2175" w:type="dxa"/>
          </w:tcPr>
          <w:p w14:paraId="1F685967"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eastAsia="Calibri" w:cstheme="minorHAnsi"/>
                <w:b/>
                <w:color w:val="002060"/>
                <w:sz w:val="24"/>
                <w:szCs w:val="24"/>
                <w:lang w:eastAsia="it-IT"/>
              </w:rPr>
              <w:t xml:space="preserve">Capacità: </w:t>
            </w:r>
          </w:p>
          <w:p w14:paraId="013A7DAB" w14:textId="77777777" w:rsidR="00990D9C" w:rsidRPr="00853781" w:rsidRDefault="00990D9C" w:rsidP="00EA2AE7">
            <w:pPr>
              <w:spacing w:after="0" w:line="240" w:lineRule="auto"/>
              <w:jc w:val="both"/>
              <w:rPr>
                <w:rFonts w:eastAsia="Calibri" w:cstheme="minorHAnsi"/>
                <w:b/>
                <w:color w:val="002060"/>
                <w:sz w:val="24"/>
                <w:szCs w:val="24"/>
                <w:lang w:eastAsia="it-IT"/>
              </w:rPr>
            </w:pPr>
          </w:p>
        </w:tc>
        <w:tc>
          <w:tcPr>
            <w:tcW w:w="6660" w:type="dxa"/>
          </w:tcPr>
          <w:p w14:paraId="3BF3B3E8"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capacità di presidiare fasi e/o fasce di attività del processo, sia in ruoli di front-office che di back-office, attraverso l’utilizzo di tecniche e metodi di lavoro mediamente complessi, ivi comprese tecnologie informatiche e telematiche specifiche applicate al proprio contesto di lavoro; </w:t>
            </w:r>
          </w:p>
          <w:p w14:paraId="0F499A43"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capacità di operare per il raggiungimento degli obiettivi prefissati, attraverso un apporto qualitativamente differenziato, orientando il contributo professionale ai risultati complessivi del gruppo ed alla soddisfazione degli utenti; </w:t>
            </w:r>
          </w:p>
          <w:p w14:paraId="15AFA627"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lastRenderedPageBreak/>
              <w:t xml:space="preserve">capacità di soluzione di problemi di media complessità, con ampiezza di soluzioni possibili; </w:t>
            </w:r>
          </w:p>
          <w:p w14:paraId="0E85E749"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capacità di gestire relazioni di media complessità, ivi comprese le relazioni dirette con l’utenza.</w:t>
            </w:r>
          </w:p>
        </w:tc>
      </w:tr>
      <w:tr w:rsidR="00853781" w:rsidRPr="00853781" w14:paraId="66F52FBB" w14:textId="77777777" w:rsidTr="00EA2AE7">
        <w:tc>
          <w:tcPr>
            <w:tcW w:w="2175" w:type="dxa"/>
          </w:tcPr>
          <w:p w14:paraId="0FC58887" w14:textId="77777777" w:rsidR="00990D9C" w:rsidRPr="00853781" w:rsidRDefault="00990D9C" w:rsidP="00EA2AE7">
            <w:pPr>
              <w:spacing w:after="0" w:line="240" w:lineRule="auto"/>
              <w:rPr>
                <w:rFonts w:eastAsia="Calibri" w:cstheme="minorHAnsi"/>
                <w:color w:val="002060"/>
                <w:sz w:val="24"/>
                <w:szCs w:val="24"/>
                <w:lang w:eastAsia="it-IT"/>
              </w:rPr>
            </w:pPr>
            <w:r w:rsidRPr="00853781">
              <w:rPr>
                <w:rFonts w:eastAsia="Calibri" w:cstheme="minorHAnsi"/>
                <w:b/>
                <w:color w:val="002060"/>
                <w:sz w:val="24"/>
                <w:szCs w:val="24"/>
                <w:lang w:eastAsia="it-IT"/>
              </w:rPr>
              <w:lastRenderedPageBreak/>
              <w:t xml:space="preserve">Requisiti per l’accesso dall’esterno: </w:t>
            </w:r>
          </w:p>
          <w:p w14:paraId="281368BA" w14:textId="77777777" w:rsidR="00990D9C" w:rsidRPr="00853781" w:rsidRDefault="00990D9C" w:rsidP="00EA2AE7">
            <w:pPr>
              <w:spacing w:after="0" w:line="240" w:lineRule="auto"/>
              <w:jc w:val="both"/>
              <w:rPr>
                <w:rFonts w:eastAsia="Calibri" w:cstheme="minorHAnsi"/>
                <w:b/>
                <w:color w:val="002060"/>
                <w:sz w:val="24"/>
                <w:szCs w:val="24"/>
                <w:lang w:eastAsia="it-IT"/>
              </w:rPr>
            </w:pPr>
          </w:p>
        </w:tc>
        <w:tc>
          <w:tcPr>
            <w:tcW w:w="6660" w:type="dxa"/>
          </w:tcPr>
          <w:p w14:paraId="0BA57E91"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diploma di istruzione secondaria di secondo grado ed eventuali titoli professionali o abilitazioni per lo svolgimento delle attività affidate.</w:t>
            </w:r>
          </w:p>
        </w:tc>
      </w:tr>
      <w:tr w:rsidR="00EF4AC0" w:rsidRPr="00853781" w14:paraId="6A9D5593" w14:textId="77777777" w:rsidTr="00EA2AE7">
        <w:tc>
          <w:tcPr>
            <w:tcW w:w="2175" w:type="dxa"/>
          </w:tcPr>
          <w:p w14:paraId="6734F578" w14:textId="77777777" w:rsidR="00990D9C" w:rsidRPr="00853781" w:rsidRDefault="00990D9C" w:rsidP="00EA2AE7">
            <w:pPr>
              <w:spacing w:after="0" w:line="240" w:lineRule="auto"/>
              <w:rPr>
                <w:rFonts w:eastAsia="Calibri" w:cstheme="minorHAnsi"/>
                <w:color w:val="002060"/>
                <w:sz w:val="24"/>
                <w:szCs w:val="24"/>
                <w:lang w:eastAsia="it-IT"/>
              </w:rPr>
            </w:pPr>
            <w:r w:rsidRPr="00853781">
              <w:rPr>
                <w:rFonts w:eastAsia="Calibri" w:cstheme="minorHAnsi"/>
                <w:b/>
                <w:color w:val="002060"/>
                <w:sz w:val="24"/>
                <w:szCs w:val="24"/>
                <w:lang w:eastAsia="it-IT"/>
              </w:rPr>
              <w:t xml:space="preserve">Esemplificazione dei profili professionali: </w:t>
            </w:r>
          </w:p>
          <w:p w14:paraId="75B9E2F1" w14:textId="77777777" w:rsidR="00990D9C" w:rsidRPr="00853781" w:rsidRDefault="00990D9C" w:rsidP="00EA2AE7">
            <w:pPr>
              <w:spacing w:after="0" w:line="240" w:lineRule="auto"/>
              <w:jc w:val="both"/>
              <w:rPr>
                <w:rFonts w:eastAsia="Calibri" w:cstheme="minorHAnsi"/>
                <w:b/>
                <w:color w:val="002060"/>
                <w:sz w:val="24"/>
                <w:szCs w:val="24"/>
                <w:lang w:eastAsia="it-IT"/>
              </w:rPr>
            </w:pPr>
          </w:p>
        </w:tc>
        <w:tc>
          <w:tcPr>
            <w:tcW w:w="6660" w:type="dxa"/>
          </w:tcPr>
          <w:p w14:paraId="77443C65"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lavoratore che, nel proprio ambito professionale, esegue tutte le attività lavorative connesse all’area di attività cui è adibito, intervenendo nelle diverse fasi dei processi presidiate e nella gestione di relazioni dirette con l’utenza, nell’ambito delle proprie competenze;</w:t>
            </w:r>
          </w:p>
          <w:p w14:paraId="0FCDF0D8" w14:textId="77777777" w:rsidR="00990D9C" w:rsidRPr="00853781" w:rsidRDefault="00990D9C" w:rsidP="00EA2AE7">
            <w:pP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lavoratore che, anche in collaborazione con altri addetti, svolge attività istruttoria nel campo amministrativo, tecnico e contabile, nel rispetto di procedure e di norme interne o esterne.</w:t>
            </w:r>
          </w:p>
        </w:tc>
      </w:tr>
    </w:tbl>
    <w:p w14:paraId="30E8D0B4" w14:textId="77777777" w:rsidR="00990D9C" w:rsidRPr="00853781" w:rsidRDefault="00990D9C" w:rsidP="00990D9C">
      <w:pPr>
        <w:rPr>
          <w:rFonts w:cstheme="minorHAnsi"/>
          <w:color w:val="002060"/>
        </w:rPr>
      </w:pPr>
    </w:p>
    <w:p w14:paraId="6E9B5D3C" w14:textId="77777777" w:rsidR="00990D9C" w:rsidRPr="00853781" w:rsidRDefault="00990D9C" w:rsidP="00990D9C">
      <w:pP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Nelle aree è previsto un unico accesso dall’esterno nel livello economico iniziale: </w:t>
      </w:r>
    </w:p>
    <w:p w14:paraId="5954AA73" w14:textId="77777777" w:rsidR="00990D9C" w:rsidRPr="00853781" w:rsidRDefault="00990D9C" w:rsidP="00990D9C">
      <w:pPr>
        <w:rPr>
          <w:rFonts w:cstheme="minorHAnsi"/>
          <w:color w:val="002060"/>
          <w:sz w:val="24"/>
          <w:szCs w:val="24"/>
        </w:rPr>
      </w:pPr>
      <w:r w:rsidRPr="00853781">
        <w:rPr>
          <w:rFonts w:cstheme="minorHAnsi"/>
          <w:color w:val="002060"/>
          <w:sz w:val="24"/>
          <w:szCs w:val="24"/>
        </w:rPr>
        <w:t>profilo di operatore di addetto alla formazione area B, posizione economica B1</w:t>
      </w:r>
    </w:p>
    <w:p w14:paraId="0B510C10" w14:textId="18296FC5" w:rsidR="00117C81" w:rsidRDefault="00990D9C" w:rsidP="00117C81">
      <w:pPr>
        <w:pBdr>
          <w:top w:val="nil"/>
          <w:left w:val="nil"/>
          <w:bottom w:val="nil"/>
          <w:right w:val="nil"/>
          <w:between w:val="nil"/>
        </w:pBd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L’assunzione dell’unità di personale avverrà a tempo </w:t>
      </w:r>
      <w:r w:rsidR="007A6DB9" w:rsidRPr="00853781">
        <w:rPr>
          <w:rFonts w:eastAsia="Calibri" w:cstheme="minorHAnsi"/>
          <w:color w:val="002060"/>
          <w:sz w:val="24"/>
          <w:szCs w:val="24"/>
          <w:lang w:eastAsia="it-IT"/>
        </w:rPr>
        <w:t>indeterminat</w:t>
      </w:r>
      <w:r w:rsidR="007A6DB9" w:rsidRPr="009B77A6">
        <w:rPr>
          <w:rFonts w:eastAsia="Calibri" w:cstheme="minorHAnsi"/>
          <w:color w:val="002060"/>
          <w:sz w:val="24"/>
          <w:szCs w:val="24"/>
          <w:lang w:eastAsia="it-IT"/>
        </w:rPr>
        <w:t xml:space="preserve">o (tempo </w:t>
      </w:r>
      <w:r w:rsidRPr="009B77A6">
        <w:rPr>
          <w:rFonts w:eastAsia="Calibri" w:cstheme="minorHAnsi"/>
          <w:color w:val="002060"/>
          <w:sz w:val="24"/>
          <w:szCs w:val="24"/>
          <w:lang w:eastAsia="it-IT"/>
        </w:rPr>
        <w:t xml:space="preserve">pieno </w:t>
      </w:r>
      <w:r w:rsidR="00EF4AC0" w:rsidRPr="009B77A6">
        <w:rPr>
          <w:rFonts w:eastAsia="Calibri" w:cstheme="minorHAnsi"/>
          <w:color w:val="002060"/>
          <w:sz w:val="24"/>
          <w:szCs w:val="24"/>
          <w:lang w:eastAsia="it-IT"/>
        </w:rPr>
        <w:t>o part- time</w:t>
      </w:r>
      <w:r w:rsidR="007A6DB9" w:rsidRPr="009B77A6">
        <w:rPr>
          <w:rFonts w:eastAsia="Calibri" w:cstheme="minorHAnsi"/>
          <w:color w:val="002060"/>
          <w:sz w:val="24"/>
          <w:szCs w:val="24"/>
          <w:lang w:eastAsia="it-IT"/>
        </w:rPr>
        <w:t>),</w:t>
      </w:r>
      <w:r w:rsidRPr="009B77A6">
        <w:rPr>
          <w:rFonts w:eastAsia="Calibri" w:cstheme="minorHAnsi"/>
          <w:color w:val="002060"/>
          <w:sz w:val="24"/>
          <w:szCs w:val="24"/>
          <w:lang w:eastAsia="it-IT"/>
        </w:rPr>
        <w:t xml:space="preserve"> secondo la procedura di reclutamento descritta al paragrafo 5.</w:t>
      </w:r>
    </w:p>
    <w:p w14:paraId="0369871A" w14:textId="77777777" w:rsidR="00862F66" w:rsidRPr="00853781" w:rsidRDefault="00862F66" w:rsidP="00117C81">
      <w:pPr>
        <w:pBdr>
          <w:top w:val="nil"/>
          <w:left w:val="nil"/>
          <w:bottom w:val="nil"/>
          <w:right w:val="nil"/>
          <w:between w:val="nil"/>
        </w:pBdr>
        <w:spacing w:after="0" w:line="240" w:lineRule="auto"/>
        <w:jc w:val="both"/>
        <w:rPr>
          <w:rFonts w:eastAsia="Calibri" w:cstheme="minorHAnsi"/>
          <w:color w:val="002060"/>
          <w:sz w:val="24"/>
          <w:szCs w:val="24"/>
          <w:lang w:eastAsia="it-IT"/>
        </w:rPr>
      </w:pPr>
    </w:p>
    <w:p w14:paraId="15081371" w14:textId="77777777" w:rsidR="00117C81" w:rsidRPr="00853781" w:rsidRDefault="00117C81" w:rsidP="00117C81">
      <w:pPr>
        <w:pStyle w:val="Paragrafoelenco"/>
        <w:keepNext/>
        <w:keepLines/>
        <w:numPr>
          <w:ilvl w:val="0"/>
          <w:numId w:val="3"/>
        </w:numPr>
        <w:spacing w:before="240" w:after="240" w:line="240" w:lineRule="auto"/>
        <w:jc w:val="both"/>
        <w:outlineLvl w:val="0"/>
        <w:rPr>
          <w:rFonts w:eastAsia="Calibri" w:cstheme="minorHAnsi"/>
          <w:b/>
          <w:bCs/>
          <w:color w:val="002060"/>
          <w:sz w:val="24"/>
          <w:szCs w:val="32"/>
          <w:u w:val="single"/>
          <w:lang w:eastAsia="it-IT"/>
        </w:rPr>
      </w:pPr>
      <w:bookmarkStart w:id="1" w:name="_Hlk187308122"/>
      <w:r w:rsidRPr="00853781">
        <w:rPr>
          <w:rFonts w:eastAsia="Calibri" w:cstheme="minorHAnsi"/>
          <w:b/>
          <w:bCs/>
          <w:color w:val="002060"/>
          <w:sz w:val="24"/>
          <w:szCs w:val="32"/>
          <w:u w:val="single"/>
          <w:lang w:eastAsia="it-IT"/>
        </w:rPr>
        <w:t>Spesa del personale</w:t>
      </w:r>
    </w:p>
    <w:p w14:paraId="0B41B4A0" w14:textId="06ADE8A7" w:rsidR="00DC5A2E" w:rsidRPr="00853781" w:rsidRDefault="00DC5A2E" w:rsidP="00DC5A2E">
      <w:pPr>
        <w:spacing w:after="0" w:line="240" w:lineRule="auto"/>
        <w:ind w:right="55"/>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Le Linee di indirizzo per la predisposizione dei piani dei fabbisogni di personale da parte delle PA, definite con il decreto ministeriale 8 maggio 2018, portano al superamento del concetto di dotazione organica, inteso come “contenitore” rigido da cui partire per definire il PTFP. </w:t>
      </w:r>
    </w:p>
    <w:p w14:paraId="0FC419EB" w14:textId="418B1070" w:rsidR="00DC5A2E" w:rsidRPr="00853781" w:rsidRDefault="00DC5A2E" w:rsidP="00117C81">
      <w:pPr>
        <w:spacing w:after="0" w:line="240" w:lineRule="auto"/>
        <w:ind w:right="55"/>
        <w:jc w:val="both"/>
        <w:rPr>
          <w:rFonts w:eastAsia="Calibri" w:cstheme="minorHAnsi"/>
          <w:color w:val="002060"/>
          <w:sz w:val="24"/>
          <w:szCs w:val="24"/>
          <w:lang w:eastAsia="it-IT"/>
        </w:rPr>
      </w:pPr>
      <w:r w:rsidRPr="00853781">
        <w:rPr>
          <w:rFonts w:eastAsia="Calibri" w:cstheme="minorHAnsi"/>
          <w:color w:val="002060"/>
          <w:sz w:val="24"/>
          <w:szCs w:val="24"/>
          <w:lang w:eastAsia="it-IT"/>
        </w:rPr>
        <w:t>Nella nuova formulazione dell’articolo 6</w:t>
      </w:r>
      <w:r w:rsidRPr="00853781">
        <w:rPr>
          <w:rFonts w:cstheme="minorHAnsi"/>
          <w:color w:val="002060"/>
        </w:rPr>
        <w:t xml:space="preserve"> </w:t>
      </w:r>
      <w:r w:rsidRPr="00853781">
        <w:rPr>
          <w:rFonts w:eastAsia="Calibri" w:cstheme="minorHAnsi"/>
          <w:color w:val="002060"/>
          <w:sz w:val="24"/>
          <w:szCs w:val="24"/>
          <w:lang w:eastAsia="it-IT"/>
        </w:rPr>
        <w:t>del decreto legislativo n. 165/2001, si richiede una coerenza tra il piano triennale dei fabbisogni e l’organizzazione degli uffici</w:t>
      </w:r>
      <w:r w:rsidR="00CA04FE" w:rsidRPr="00853781">
        <w:rPr>
          <w:rFonts w:eastAsia="Calibri" w:cstheme="minorHAnsi"/>
          <w:color w:val="002060"/>
          <w:sz w:val="24"/>
          <w:szCs w:val="24"/>
          <w:lang w:eastAsia="it-IT"/>
        </w:rPr>
        <w:t>, volto a rilevare le effettive esigenze di fabbisogno del personale</w:t>
      </w:r>
      <w:r w:rsidRPr="00853781">
        <w:rPr>
          <w:rFonts w:eastAsia="Calibri" w:cstheme="minorHAnsi"/>
          <w:color w:val="002060"/>
          <w:sz w:val="24"/>
          <w:szCs w:val="24"/>
          <w:lang w:eastAsia="it-IT"/>
        </w:rPr>
        <w:t>.</w:t>
      </w:r>
    </w:p>
    <w:p w14:paraId="6D555387" w14:textId="7E8E7D45" w:rsidR="00DC5A2E" w:rsidRPr="00853781" w:rsidRDefault="00CA04FE" w:rsidP="00117C81">
      <w:pPr>
        <w:spacing w:after="0" w:line="240" w:lineRule="auto"/>
        <w:ind w:right="55"/>
        <w:jc w:val="both"/>
        <w:rPr>
          <w:rFonts w:eastAsia="Calibri" w:cstheme="minorHAnsi"/>
          <w:color w:val="002060"/>
          <w:sz w:val="24"/>
          <w:szCs w:val="24"/>
          <w:lang w:eastAsia="it-IT"/>
        </w:rPr>
      </w:pPr>
      <w:r w:rsidRPr="00853781">
        <w:rPr>
          <w:rFonts w:eastAsia="Calibri" w:cstheme="minorHAnsi"/>
          <w:color w:val="002060"/>
          <w:sz w:val="24"/>
          <w:szCs w:val="24"/>
          <w:lang w:eastAsia="it-IT"/>
        </w:rPr>
        <w:t xml:space="preserve">Perciò la dotazione organica rappresenta il valore finanziario di spesa potenziale massima sostenibile che non può essere valicata dal PTFP. Essa, di fatto, individua la “dotazione” di spesa potenziale massima imposta </w:t>
      </w:r>
      <w:r w:rsidR="00A10383">
        <w:rPr>
          <w:rFonts w:eastAsia="Calibri" w:cstheme="minorHAnsi"/>
          <w:color w:val="002060"/>
          <w:sz w:val="24"/>
          <w:szCs w:val="24"/>
          <w:lang w:eastAsia="it-IT"/>
        </w:rPr>
        <w:t xml:space="preserve">(definita dal CCN) </w:t>
      </w:r>
      <w:r w:rsidRPr="00853781">
        <w:rPr>
          <w:rFonts w:eastAsia="Calibri" w:cstheme="minorHAnsi"/>
          <w:color w:val="002060"/>
          <w:sz w:val="24"/>
          <w:szCs w:val="24"/>
          <w:lang w:eastAsia="it-IT"/>
        </w:rPr>
        <w:t>come vincolo esterno dalla legge o da altra fonte, in relazione ai rispettivi ordinamenti.</w:t>
      </w:r>
    </w:p>
    <w:p w14:paraId="2794A39E" w14:textId="1EA69898" w:rsidR="00DC5A2E" w:rsidRDefault="00CA04FE" w:rsidP="00117C81">
      <w:pPr>
        <w:spacing w:after="0" w:line="240" w:lineRule="auto"/>
        <w:ind w:right="55"/>
        <w:jc w:val="both"/>
        <w:rPr>
          <w:rFonts w:eastAsia="Calibri" w:cstheme="minorHAnsi"/>
          <w:color w:val="002060"/>
          <w:sz w:val="24"/>
          <w:szCs w:val="24"/>
          <w:lang w:eastAsia="it-IT"/>
        </w:rPr>
      </w:pPr>
      <w:r w:rsidRPr="00853781">
        <w:rPr>
          <w:rFonts w:eastAsia="Calibri" w:cstheme="minorHAnsi"/>
          <w:color w:val="002060"/>
          <w:sz w:val="24"/>
          <w:szCs w:val="24"/>
          <w:lang w:eastAsia="it-IT"/>
        </w:rPr>
        <w:t>Le amministrazioni pubbliche, nell’ambito del PTFP, elaborano una rimodulazione qualitativa e quantitativa della propria consistenza di personale nel rispetto limite di spesa potenziale massima.</w:t>
      </w:r>
    </w:p>
    <w:p w14:paraId="4908BC9F" w14:textId="77777777" w:rsidR="009B77A6" w:rsidRDefault="009B77A6" w:rsidP="00117C81">
      <w:pPr>
        <w:spacing w:after="0" w:line="240" w:lineRule="auto"/>
        <w:ind w:right="55"/>
        <w:jc w:val="both"/>
        <w:rPr>
          <w:rFonts w:eastAsia="Calibri" w:cstheme="minorHAnsi"/>
          <w:color w:val="002060"/>
          <w:sz w:val="24"/>
          <w:szCs w:val="24"/>
          <w:lang w:eastAsia="it-IT"/>
        </w:rPr>
      </w:pPr>
    </w:p>
    <w:p w14:paraId="7A97E76E" w14:textId="47073E5A" w:rsidR="00074846" w:rsidRPr="006C12A8" w:rsidRDefault="00074846" w:rsidP="00074846">
      <w:pPr>
        <w:spacing w:after="0" w:line="240" w:lineRule="auto"/>
        <w:ind w:right="55"/>
        <w:jc w:val="both"/>
        <w:rPr>
          <w:rFonts w:eastAsia="Calibri" w:cstheme="minorHAnsi"/>
          <w:color w:val="002060"/>
          <w:sz w:val="24"/>
          <w:szCs w:val="24"/>
          <w:lang w:eastAsia="it-IT"/>
        </w:rPr>
      </w:pPr>
      <w:r w:rsidRPr="006C12A8">
        <w:rPr>
          <w:rFonts w:eastAsia="Calibri" w:cstheme="minorHAnsi"/>
          <w:color w:val="002060"/>
          <w:sz w:val="24"/>
          <w:szCs w:val="24"/>
          <w:lang w:eastAsia="it-IT"/>
        </w:rPr>
        <w:t xml:space="preserve">L’ultima dotazione organica adottata dal Collegio porta ad un valore di spesa annua potenziale di € </w:t>
      </w:r>
      <w:r w:rsidR="004B2F65" w:rsidRPr="004B2F65">
        <w:rPr>
          <w:rFonts w:ascii="Calibri" w:eastAsia="Times New Roman" w:hAnsi="Calibri" w:cs="Calibri"/>
          <w:color w:val="002060"/>
          <w:sz w:val="24"/>
          <w:szCs w:val="24"/>
          <w:lang w:eastAsia="it-IT"/>
        </w:rPr>
        <w:t xml:space="preserve">116.351,00  </w:t>
      </w:r>
      <w:r w:rsidRPr="006C12A8">
        <w:rPr>
          <w:rFonts w:eastAsia="Calibri" w:cstheme="minorHAnsi"/>
          <w:color w:val="002060"/>
          <w:sz w:val="24"/>
          <w:szCs w:val="24"/>
          <w:lang w:eastAsia="it-IT"/>
        </w:rPr>
        <w:t xml:space="preserve">come specificato nella sottostante tabella, </w:t>
      </w:r>
    </w:p>
    <w:tbl>
      <w:tblPr>
        <w:tblW w:w="4920" w:type="dxa"/>
        <w:tblCellMar>
          <w:left w:w="70" w:type="dxa"/>
          <w:right w:w="70" w:type="dxa"/>
        </w:tblCellMar>
        <w:tblLook w:val="04A0" w:firstRow="1" w:lastRow="0" w:firstColumn="1" w:lastColumn="0" w:noHBand="0" w:noVBand="1"/>
      </w:tblPr>
      <w:tblGrid>
        <w:gridCol w:w="2040"/>
        <w:gridCol w:w="1400"/>
        <w:gridCol w:w="1480"/>
      </w:tblGrid>
      <w:tr w:rsidR="004B2F65" w:rsidRPr="004B2F65" w14:paraId="1395C8DA" w14:textId="77777777" w:rsidTr="004B2F65">
        <w:trPr>
          <w:trHeight w:val="645"/>
        </w:trPr>
        <w:tc>
          <w:tcPr>
            <w:tcW w:w="20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B3BA7C6"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lastRenderedPageBreak/>
              <w:t>Profilo professionale</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3AA05F13"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t>Dotazione</w:t>
            </w:r>
          </w:p>
        </w:tc>
        <w:tc>
          <w:tcPr>
            <w:tcW w:w="1480" w:type="dxa"/>
            <w:tcBorders>
              <w:top w:val="single" w:sz="8" w:space="0" w:color="auto"/>
              <w:left w:val="nil"/>
              <w:bottom w:val="single" w:sz="8" w:space="0" w:color="auto"/>
              <w:right w:val="single" w:sz="8" w:space="0" w:color="auto"/>
            </w:tcBorders>
            <w:shd w:val="clear" w:color="auto" w:fill="auto"/>
            <w:vAlign w:val="center"/>
            <w:hideMark/>
          </w:tcPr>
          <w:p w14:paraId="356C3764"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t>A regime</w:t>
            </w:r>
          </w:p>
        </w:tc>
      </w:tr>
      <w:tr w:rsidR="004B2F65" w:rsidRPr="004B2F65" w14:paraId="47F4BD96" w14:textId="77777777" w:rsidTr="004B2F65">
        <w:trPr>
          <w:trHeight w:val="330"/>
        </w:trPr>
        <w:tc>
          <w:tcPr>
            <w:tcW w:w="2040" w:type="dxa"/>
            <w:tcBorders>
              <w:top w:val="nil"/>
              <w:left w:val="single" w:sz="8" w:space="0" w:color="auto"/>
              <w:bottom w:val="single" w:sz="8" w:space="0" w:color="auto"/>
              <w:right w:val="single" w:sz="8" w:space="0" w:color="auto"/>
            </w:tcBorders>
            <w:shd w:val="clear" w:color="auto" w:fill="auto"/>
            <w:vAlign w:val="center"/>
            <w:hideMark/>
          </w:tcPr>
          <w:p w14:paraId="74471EA5"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t>C</w:t>
            </w:r>
          </w:p>
        </w:tc>
        <w:tc>
          <w:tcPr>
            <w:tcW w:w="1400" w:type="dxa"/>
            <w:tcBorders>
              <w:top w:val="nil"/>
              <w:left w:val="nil"/>
              <w:bottom w:val="single" w:sz="8" w:space="0" w:color="auto"/>
              <w:right w:val="single" w:sz="8" w:space="0" w:color="auto"/>
            </w:tcBorders>
            <w:shd w:val="clear" w:color="auto" w:fill="auto"/>
            <w:vAlign w:val="center"/>
            <w:hideMark/>
          </w:tcPr>
          <w:p w14:paraId="676F9CC5"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t>1</w:t>
            </w:r>
          </w:p>
        </w:tc>
        <w:tc>
          <w:tcPr>
            <w:tcW w:w="1480" w:type="dxa"/>
            <w:tcBorders>
              <w:top w:val="nil"/>
              <w:left w:val="nil"/>
              <w:bottom w:val="single" w:sz="8" w:space="0" w:color="auto"/>
              <w:right w:val="single" w:sz="8" w:space="0" w:color="auto"/>
            </w:tcBorders>
            <w:shd w:val="clear" w:color="auto" w:fill="auto"/>
            <w:noWrap/>
            <w:vAlign w:val="bottom"/>
            <w:hideMark/>
          </w:tcPr>
          <w:p w14:paraId="3FDE2315" w14:textId="77777777" w:rsidR="004B2F65" w:rsidRPr="004B2F65" w:rsidRDefault="004B2F65" w:rsidP="004B2F65">
            <w:pPr>
              <w:spacing w:after="0" w:line="240" w:lineRule="auto"/>
              <w:jc w:val="right"/>
              <w:rPr>
                <w:rFonts w:ascii="Calibri" w:eastAsia="Times New Roman" w:hAnsi="Calibri" w:cs="Calibri"/>
                <w:color w:val="002060"/>
                <w:lang w:eastAsia="it-IT"/>
              </w:rPr>
            </w:pPr>
            <w:r w:rsidRPr="004B2F65">
              <w:rPr>
                <w:rFonts w:ascii="Calibri" w:eastAsia="Times New Roman" w:hAnsi="Calibri" w:cs="Calibri"/>
                <w:color w:val="002060"/>
                <w:lang w:eastAsia="it-IT"/>
              </w:rPr>
              <w:t xml:space="preserve">40.507,00  </w:t>
            </w:r>
          </w:p>
        </w:tc>
      </w:tr>
      <w:tr w:rsidR="004B2F65" w:rsidRPr="004B2F65" w14:paraId="15377AB9" w14:textId="77777777" w:rsidTr="004B2F65">
        <w:trPr>
          <w:trHeight w:val="330"/>
        </w:trPr>
        <w:tc>
          <w:tcPr>
            <w:tcW w:w="2040" w:type="dxa"/>
            <w:tcBorders>
              <w:top w:val="nil"/>
              <w:left w:val="single" w:sz="8" w:space="0" w:color="auto"/>
              <w:bottom w:val="single" w:sz="8" w:space="0" w:color="auto"/>
              <w:right w:val="single" w:sz="8" w:space="0" w:color="auto"/>
            </w:tcBorders>
            <w:shd w:val="clear" w:color="auto" w:fill="auto"/>
            <w:vAlign w:val="center"/>
            <w:hideMark/>
          </w:tcPr>
          <w:p w14:paraId="1319FEFC"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t>B</w:t>
            </w:r>
          </w:p>
        </w:tc>
        <w:tc>
          <w:tcPr>
            <w:tcW w:w="1400" w:type="dxa"/>
            <w:tcBorders>
              <w:top w:val="nil"/>
              <w:left w:val="nil"/>
              <w:bottom w:val="single" w:sz="8" w:space="0" w:color="auto"/>
              <w:right w:val="single" w:sz="8" w:space="0" w:color="auto"/>
            </w:tcBorders>
            <w:shd w:val="clear" w:color="auto" w:fill="auto"/>
            <w:vAlign w:val="center"/>
            <w:hideMark/>
          </w:tcPr>
          <w:p w14:paraId="6757B4B4"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t>2</w:t>
            </w:r>
          </w:p>
        </w:tc>
        <w:tc>
          <w:tcPr>
            <w:tcW w:w="1480" w:type="dxa"/>
            <w:tcBorders>
              <w:top w:val="nil"/>
              <w:left w:val="nil"/>
              <w:bottom w:val="single" w:sz="8" w:space="0" w:color="auto"/>
              <w:right w:val="single" w:sz="8" w:space="0" w:color="auto"/>
            </w:tcBorders>
            <w:shd w:val="clear" w:color="auto" w:fill="auto"/>
            <w:noWrap/>
            <w:vAlign w:val="bottom"/>
            <w:hideMark/>
          </w:tcPr>
          <w:p w14:paraId="2ABC4F35" w14:textId="77777777" w:rsidR="004B2F65" w:rsidRPr="004B2F65" w:rsidRDefault="004B2F65" w:rsidP="004B2F65">
            <w:pPr>
              <w:spacing w:after="0" w:line="240" w:lineRule="auto"/>
              <w:jc w:val="right"/>
              <w:rPr>
                <w:rFonts w:ascii="Calibri" w:eastAsia="Times New Roman" w:hAnsi="Calibri" w:cs="Calibri"/>
                <w:color w:val="002060"/>
                <w:lang w:eastAsia="it-IT"/>
              </w:rPr>
            </w:pPr>
            <w:r w:rsidRPr="004B2F65">
              <w:rPr>
                <w:rFonts w:ascii="Calibri" w:eastAsia="Times New Roman" w:hAnsi="Calibri" w:cs="Calibri"/>
                <w:color w:val="002060"/>
                <w:lang w:eastAsia="it-IT"/>
              </w:rPr>
              <w:t xml:space="preserve">75.844,00  </w:t>
            </w:r>
          </w:p>
        </w:tc>
      </w:tr>
      <w:tr w:rsidR="004B2F65" w:rsidRPr="004B2F65" w14:paraId="2B180CB0" w14:textId="77777777" w:rsidTr="004B2F65">
        <w:trPr>
          <w:trHeight w:val="330"/>
        </w:trPr>
        <w:tc>
          <w:tcPr>
            <w:tcW w:w="2040" w:type="dxa"/>
            <w:tcBorders>
              <w:top w:val="nil"/>
              <w:left w:val="single" w:sz="8" w:space="0" w:color="auto"/>
              <w:bottom w:val="single" w:sz="8" w:space="0" w:color="auto"/>
              <w:right w:val="single" w:sz="8" w:space="0" w:color="auto"/>
            </w:tcBorders>
            <w:shd w:val="clear" w:color="auto" w:fill="auto"/>
            <w:vAlign w:val="center"/>
            <w:hideMark/>
          </w:tcPr>
          <w:p w14:paraId="0C6BD637"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t> </w:t>
            </w:r>
          </w:p>
        </w:tc>
        <w:tc>
          <w:tcPr>
            <w:tcW w:w="1400" w:type="dxa"/>
            <w:tcBorders>
              <w:top w:val="nil"/>
              <w:left w:val="nil"/>
              <w:bottom w:val="single" w:sz="8" w:space="0" w:color="auto"/>
              <w:right w:val="single" w:sz="8" w:space="0" w:color="auto"/>
            </w:tcBorders>
            <w:shd w:val="clear" w:color="auto" w:fill="auto"/>
            <w:vAlign w:val="center"/>
            <w:hideMark/>
          </w:tcPr>
          <w:p w14:paraId="2005A8A4"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t> </w:t>
            </w:r>
          </w:p>
        </w:tc>
        <w:tc>
          <w:tcPr>
            <w:tcW w:w="1480" w:type="dxa"/>
            <w:tcBorders>
              <w:top w:val="nil"/>
              <w:left w:val="nil"/>
              <w:bottom w:val="single" w:sz="8" w:space="0" w:color="auto"/>
              <w:right w:val="single" w:sz="8" w:space="0" w:color="auto"/>
            </w:tcBorders>
            <w:shd w:val="clear" w:color="auto" w:fill="auto"/>
            <w:vAlign w:val="center"/>
            <w:hideMark/>
          </w:tcPr>
          <w:p w14:paraId="142358F3"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t> </w:t>
            </w:r>
          </w:p>
        </w:tc>
      </w:tr>
      <w:tr w:rsidR="004B2F65" w:rsidRPr="004B2F65" w14:paraId="69A587D5" w14:textId="77777777" w:rsidTr="004B2F65">
        <w:trPr>
          <w:trHeight w:val="330"/>
        </w:trPr>
        <w:tc>
          <w:tcPr>
            <w:tcW w:w="344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4AB8E6F"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t>COSTI PREVISTI</w:t>
            </w:r>
          </w:p>
        </w:tc>
        <w:tc>
          <w:tcPr>
            <w:tcW w:w="1480" w:type="dxa"/>
            <w:tcBorders>
              <w:top w:val="nil"/>
              <w:left w:val="nil"/>
              <w:bottom w:val="single" w:sz="8" w:space="0" w:color="auto"/>
              <w:right w:val="single" w:sz="8" w:space="0" w:color="auto"/>
            </w:tcBorders>
            <w:shd w:val="clear" w:color="auto" w:fill="auto"/>
            <w:vAlign w:val="center"/>
            <w:hideMark/>
          </w:tcPr>
          <w:p w14:paraId="548411A3" w14:textId="77777777" w:rsidR="004B2F65" w:rsidRPr="004B2F65" w:rsidRDefault="004B2F65" w:rsidP="004B2F65">
            <w:pPr>
              <w:spacing w:after="0" w:line="240" w:lineRule="auto"/>
              <w:jc w:val="both"/>
              <w:rPr>
                <w:rFonts w:ascii="Calibri" w:eastAsia="Times New Roman" w:hAnsi="Calibri" w:cs="Calibri"/>
                <w:color w:val="002060"/>
                <w:sz w:val="24"/>
                <w:szCs w:val="24"/>
                <w:lang w:eastAsia="it-IT"/>
              </w:rPr>
            </w:pPr>
            <w:r w:rsidRPr="004B2F65">
              <w:rPr>
                <w:rFonts w:ascii="Calibri" w:eastAsia="Times New Roman" w:hAnsi="Calibri" w:cs="Calibri"/>
                <w:color w:val="002060"/>
                <w:sz w:val="24"/>
                <w:szCs w:val="24"/>
                <w:lang w:eastAsia="it-IT"/>
              </w:rPr>
              <w:t xml:space="preserve">116.351,00  </w:t>
            </w:r>
          </w:p>
        </w:tc>
      </w:tr>
    </w:tbl>
    <w:p w14:paraId="0A3DF026" w14:textId="77777777" w:rsidR="005F2E70" w:rsidRDefault="005F2E70" w:rsidP="00117C81">
      <w:pPr>
        <w:spacing w:after="0" w:line="240" w:lineRule="auto"/>
        <w:ind w:right="55"/>
        <w:jc w:val="both"/>
        <w:rPr>
          <w:rFonts w:eastAsia="Calibri" w:cstheme="minorHAnsi"/>
          <w:color w:val="002060"/>
          <w:sz w:val="24"/>
          <w:szCs w:val="24"/>
          <w:lang w:eastAsia="it-IT"/>
        </w:rPr>
      </w:pPr>
    </w:p>
    <w:p w14:paraId="79DD42D1" w14:textId="77777777" w:rsidR="009B77A6" w:rsidRPr="00853781" w:rsidRDefault="009B77A6" w:rsidP="00117C81">
      <w:pPr>
        <w:spacing w:after="0" w:line="240" w:lineRule="auto"/>
        <w:ind w:right="55"/>
        <w:jc w:val="both"/>
        <w:rPr>
          <w:rFonts w:eastAsia="Calibri" w:cstheme="minorHAnsi"/>
          <w:color w:val="002060"/>
          <w:sz w:val="24"/>
          <w:szCs w:val="24"/>
          <w:lang w:eastAsia="it-IT"/>
        </w:rPr>
      </w:pPr>
    </w:p>
    <w:p w14:paraId="1098D77D" w14:textId="77777777" w:rsidR="009E6F0C" w:rsidRPr="00853781" w:rsidRDefault="00117C81" w:rsidP="00117C81">
      <w:pPr>
        <w:spacing w:after="120" w:line="240" w:lineRule="auto"/>
        <w:jc w:val="both"/>
        <w:rPr>
          <w:rFonts w:eastAsia="Garamond" w:cstheme="minorHAnsi"/>
          <w:color w:val="002060"/>
          <w:sz w:val="24"/>
          <w:szCs w:val="24"/>
          <w:lang w:eastAsia="it-IT"/>
        </w:rPr>
      </w:pPr>
      <w:r w:rsidRPr="00853781">
        <w:rPr>
          <w:rFonts w:eastAsia="Garamond" w:cstheme="minorHAnsi"/>
          <w:color w:val="002060"/>
          <w:sz w:val="24"/>
          <w:szCs w:val="24"/>
          <w:lang w:eastAsia="it-IT"/>
        </w:rPr>
        <w:t>Il costo del personale considerata la dotazione organica previsionale corrisponde a quanto segue:</w:t>
      </w:r>
    </w:p>
    <w:tbl>
      <w:tblPr>
        <w:tblW w:w="7420" w:type="dxa"/>
        <w:tblCellMar>
          <w:left w:w="70" w:type="dxa"/>
          <w:right w:w="70" w:type="dxa"/>
        </w:tblCellMar>
        <w:tblLook w:val="04A0" w:firstRow="1" w:lastRow="0" w:firstColumn="1" w:lastColumn="0" w:noHBand="0" w:noVBand="1"/>
      </w:tblPr>
      <w:tblGrid>
        <w:gridCol w:w="2040"/>
        <w:gridCol w:w="1400"/>
        <w:gridCol w:w="1340"/>
        <w:gridCol w:w="1360"/>
        <w:gridCol w:w="1280"/>
      </w:tblGrid>
      <w:tr w:rsidR="005F2E70" w:rsidRPr="005F2E70" w14:paraId="11C8B7F7" w14:textId="77777777" w:rsidTr="005F2E70">
        <w:trPr>
          <w:trHeight w:val="645"/>
        </w:trPr>
        <w:tc>
          <w:tcPr>
            <w:tcW w:w="2040" w:type="dxa"/>
            <w:tcBorders>
              <w:top w:val="nil"/>
              <w:left w:val="nil"/>
              <w:bottom w:val="nil"/>
              <w:right w:val="nil"/>
            </w:tcBorders>
            <w:shd w:val="clear" w:color="auto" w:fill="auto"/>
            <w:noWrap/>
            <w:vAlign w:val="center"/>
            <w:hideMark/>
          </w:tcPr>
          <w:p w14:paraId="54B4F278" w14:textId="77777777" w:rsidR="005F2E70" w:rsidRPr="005F2E70" w:rsidRDefault="005F2E70" w:rsidP="005F2E70">
            <w:pPr>
              <w:spacing w:after="0" w:line="240" w:lineRule="auto"/>
              <w:jc w:val="both"/>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COSTO PERSONALE 2025-2027</w:t>
            </w:r>
          </w:p>
        </w:tc>
        <w:tc>
          <w:tcPr>
            <w:tcW w:w="1400" w:type="dxa"/>
            <w:tcBorders>
              <w:top w:val="nil"/>
              <w:left w:val="nil"/>
              <w:bottom w:val="nil"/>
              <w:right w:val="nil"/>
            </w:tcBorders>
            <w:shd w:val="clear" w:color="auto" w:fill="auto"/>
            <w:noWrap/>
            <w:vAlign w:val="bottom"/>
            <w:hideMark/>
          </w:tcPr>
          <w:p w14:paraId="3CC6CECB" w14:textId="77777777" w:rsidR="005F2E70" w:rsidRPr="005F2E70" w:rsidRDefault="005F2E70" w:rsidP="005F2E70">
            <w:pPr>
              <w:spacing w:after="0" w:line="240" w:lineRule="auto"/>
              <w:jc w:val="both"/>
              <w:rPr>
                <w:rFonts w:ascii="Calibri" w:eastAsia="Times New Roman" w:hAnsi="Calibri" w:cs="Calibri"/>
                <w:color w:val="002060"/>
                <w:sz w:val="24"/>
                <w:szCs w:val="24"/>
                <w:lang w:eastAsia="it-IT"/>
              </w:rPr>
            </w:pPr>
          </w:p>
        </w:tc>
        <w:tc>
          <w:tcPr>
            <w:tcW w:w="1340" w:type="dxa"/>
            <w:tcBorders>
              <w:top w:val="nil"/>
              <w:left w:val="nil"/>
              <w:bottom w:val="nil"/>
              <w:right w:val="nil"/>
            </w:tcBorders>
            <w:shd w:val="clear" w:color="auto" w:fill="auto"/>
            <w:noWrap/>
            <w:vAlign w:val="bottom"/>
            <w:hideMark/>
          </w:tcPr>
          <w:p w14:paraId="31F81C7C" w14:textId="77777777" w:rsidR="005F2E70" w:rsidRPr="005F2E70" w:rsidRDefault="005F2E70" w:rsidP="005F2E70">
            <w:pPr>
              <w:spacing w:after="0" w:line="240" w:lineRule="auto"/>
              <w:rPr>
                <w:rFonts w:ascii="Times New Roman" w:eastAsia="Times New Roman" w:hAnsi="Times New Roman" w:cs="Times New Roman"/>
                <w:sz w:val="20"/>
                <w:szCs w:val="20"/>
                <w:lang w:eastAsia="it-IT"/>
              </w:rPr>
            </w:pPr>
          </w:p>
        </w:tc>
        <w:tc>
          <w:tcPr>
            <w:tcW w:w="1360" w:type="dxa"/>
            <w:tcBorders>
              <w:top w:val="nil"/>
              <w:left w:val="nil"/>
              <w:bottom w:val="nil"/>
              <w:right w:val="nil"/>
            </w:tcBorders>
            <w:shd w:val="clear" w:color="auto" w:fill="auto"/>
            <w:noWrap/>
            <w:vAlign w:val="bottom"/>
            <w:hideMark/>
          </w:tcPr>
          <w:p w14:paraId="1669999D" w14:textId="77777777" w:rsidR="005F2E70" w:rsidRPr="005F2E70" w:rsidRDefault="005F2E70" w:rsidP="005F2E70">
            <w:pPr>
              <w:spacing w:after="0" w:line="240" w:lineRule="auto"/>
              <w:rPr>
                <w:rFonts w:ascii="Times New Roman" w:eastAsia="Times New Roman" w:hAnsi="Times New Roman" w:cs="Times New Roman"/>
                <w:sz w:val="20"/>
                <w:szCs w:val="20"/>
                <w:lang w:eastAsia="it-IT"/>
              </w:rPr>
            </w:pPr>
          </w:p>
        </w:tc>
        <w:tc>
          <w:tcPr>
            <w:tcW w:w="1280" w:type="dxa"/>
            <w:tcBorders>
              <w:top w:val="nil"/>
              <w:left w:val="nil"/>
              <w:bottom w:val="nil"/>
              <w:right w:val="nil"/>
            </w:tcBorders>
            <w:shd w:val="clear" w:color="auto" w:fill="auto"/>
            <w:noWrap/>
            <w:vAlign w:val="bottom"/>
            <w:hideMark/>
          </w:tcPr>
          <w:p w14:paraId="6C36EA55" w14:textId="77777777" w:rsidR="005F2E70" w:rsidRPr="005F2E70" w:rsidRDefault="005F2E70" w:rsidP="005F2E70">
            <w:pPr>
              <w:spacing w:after="0" w:line="240" w:lineRule="auto"/>
              <w:rPr>
                <w:rFonts w:ascii="Times New Roman" w:eastAsia="Times New Roman" w:hAnsi="Times New Roman" w:cs="Times New Roman"/>
                <w:sz w:val="20"/>
                <w:szCs w:val="20"/>
                <w:lang w:eastAsia="it-IT"/>
              </w:rPr>
            </w:pPr>
          </w:p>
        </w:tc>
      </w:tr>
      <w:tr w:rsidR="005F2E70" w:rsidRPr="005F2E70" w14:paraId="58E4729F" w14:textId="77777777" w:rsidTr="005F2E70">
        <w:trPr>
          <w:trHeight w:val="945"/>
        </w:trPr>
        <w:tc>
          <w:tcPr>
            <w:tcW w:w="20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C464696" w14:textId="77777777" w:rsidR="005F2E70" w:rsidRPr="005F2E70" w:rsidRDefault="005F2E70" w:rsidP="005F2E70">
            <w:pPr>
              <w:spacing w:after="0" w:line="240" w:lineRule="auto"/>
              <w:jc w:val="both"/>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Profilo professionale</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0F0EC9C1"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Dotazione</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14:paraId="455E9BBF"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2025</w:t>
            </w:r>
          </w:p>
        </w:tc>
        <w:tc>
          <w:tcPr>
            <w:tcW w:w="1360" w:type="dxa"/>
            <w:tcBorders>
              <w:top w:val="single" w:sz="8" w:space="0" w:color="auto"/>
              <w:left w:val="nil"/>
              <w:bottom w:val="single" w:sz="8" w:space="0" w:color="auto"/>
              <w:right w:val="single" w:sz="8" w:space="0" w:color="auto"/>
            </w:tcBorders>
            <w:shd w:val="clear" w:color="auto" w:fill="auto"/>
            <w:vAlign w:val="center"/>
            <w:hideMark/>
          </w:tcPr>
          <w:p w14:paraId="5989D5C9"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2026</w:t>
            </w:r>
          </w:p>
        </w:tc>
        <w:tc>
          <w:tcPr>
            <w:tcW w:w="1280" w:type="dxa"/>
            <w:tcBorders>
              <w:top w:val="single" w:sz="8" w:space="0" w:color="auto"/>
              <w:left w:val="nil"/>
              <w:bottom w:val="single" w:sz="8" w:space="0" w:color="auto"/>
              <w:right w:val="single" w:sz="8" w:space="0" w:color="auto"/>
            </w:tcBorders>
            <w:shd w:val="clear" w:color="auto" w:fill="auto"/>
            <w:vAlign w:val="center"/>
            <w:hideMark/>
          </w:tcPr>
          <w:p w14:paraId="17DB7356"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2027</w:t>
            </w:r>
          </w:p>
        </w:tc>
      </w:tr>
      <w:tr w:rsidR="005F2E70" w:rsidRPr="005F2E70" w14:paraId="48C46412" w14:textId="77777777" w:rsidTr="005F2E70">
        <w:trPr>
          <w:trHeight w:val="510"/>
        </w:trPr>
        <w:tc>
          <w:tcPr>
            <w:tcW w:w="2040" w:type="dxa"/>
            <w:tcBorders>
              <w:top w:val="nil"/>
              <w:left w:val="single" w:sz="8" w:space="0" w:color="auto"/>
              <w:bottom w:val="single" w:sz="8" w:space="0" w:color="auto"/>
              <w:right w:val="single" w:sz="8" w:space="0" w:color="auto"/>
            </w:tcBorders>
            <w:shd w:val="clear" w:color="auto" w:fill="auto"/>
            <w:vAlign w:val="center"/>
            <w:hideMark/>
          </w:tcPr>
          <w:p w14:paraId="4F0E296F" w14:textId="77777777" w:rsidR="005F2E70" w:rsidRPr="005F2E70" w:rsidRDefault="005F2E70" w:rsidP="005F2E70">
            <w:pPr>
              <w:spacing w:after="0" w:line="240" w:lineRule="auto"/>
              <w:jc w:val="both"/>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B2</w:t>
            </w:r>
          </w:p>
        </w:tc>
        <w:tc>
          <w:tcPr>
            <w:tcW w:w="1400" w:type="dxa"/>
            <w:tcBorders>
              <w:top w:val="nil"/>
              <w:left w:val="nil"/>
              <w:bottom w:val="single" w:sz="8" w:space="0" w:color="auto"/>
              <w:right w:val="single" w:sz="8" w:space="0" w:color="auto"/>
            </w:tcBorders>
            <w:shd w:val="clear" w:color="auto" w:fill="auto"/>
            <w:vAlign w:val="center"/>
            <w:hideMark/>
          </w:tcPr>
          <w:p w14:paraId="6D5861D6" w14:textId="77777777" w:rsidR="005F2E70" w:rsidRPr="005F2E70" w:rsidRDefault="005F2E70" w:rsidP="005F2E70">
            <w:pPr>
              <w:spacing w:after="0" w:line="240" w:lineRule="auto"/>
              <w:jc w:val="both"/>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1</w:t>
            </w:r>
          </w:p>
        </w:tc>
        <w:tc>
          <w:tcPr>
            <w:tcW w:w="1340" w:type="dxa"/>
            <w:tcBorders>
              <w:top w:val="nil"/>
              <w:left w:val="nil"/>
              <w:bottom w:val="single" w:sz="8" w:space="0" w:color="auto"/>
              <w:right w:val="single" w:sz="8" w:space="0" w:color="auto"/>
            </w:tcBorders>
            <w:shd w:val="clear" w:color="auto" w:fill="auto"/>
            <w:vAlign w:val="center"/>
            <w:hideMark/>
          </w:tcPr>
          <w:p w14:paraId="72AE38C3"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39.650,80 €</w:t>
            </w:r>
          </w:p>
        </w:tc>
        <w:tc>
          <w:tcPr>
            <w:tcW w:w="1360" w:type="dxa"/>
            <w:tcBorders>
              <w:top w:val="nil"/>
              <w:left w:val="nil"/>
              <w:bottom w:val="single" w:sz="8" w:space="0" w:color="auto"/>
              <w:right w:val="single" w:sz="8" w:space="0" w:color="auto"/>
            </w:tcBorders>
            <w:shd w:val="clear" w:color="auto" w:fill="auto"/>
            <w:vAlign w:val="center"/>
            <w:hideMark/>
          </w:tcPr>
          <w:p w14:paraId="20C491F2"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39.650,80 €</w:t>
            </w:r>
          </w:p>
        </w:tc>
        <w:tc>
          <w:tcPr>
            <w:tcW w:w="1280" w:type="dxa"/>
            <w:tcBorders>
              <w:top w:val="nil"/>
              <w:left w:val="nil"/>
              <w:bottom w:val="single" w:sz="8" w:space="0" w:color="auto"/>
              <w:right w:val="single" w:sz="8" w:space="0" w:color="auto"/>
            </w:tcBorders>
            <w:shd w:val="clear" w:color="auto" w:fill="auto"/>
            <w:vAlign w:val="center"/>
            <w:hideMark/>
          </w:tcPr>
          <w:p w14:paraId="301FA331"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39.650,80 €</w:t>
            </w:r>
          </w:p>
        </w:tc>
      </w:tr>
      <w:tr w:rsidR="005F2E70" w:rsidRPr="005F2E70" w14:paraId="038F20BC" w14:textId="77777777" w:rsidTr="005F2E70">
        <w:trPr>
          <w:trHeight w:val="510"/>
        </w:trPr>
        <w:tc>
          <w:tcPr>
            <w:tcW w:w="2040" w:type="dxa"/>
            <w:tcBorders>
              <w:top w:val="nil"/>
              <w:left w:val="single" w:sz="8" w:space="0" w:color="auto"/>
              <w:bottom w:val="single" w:sz="8" w:space="0" w:color="auto"/>
              <w:right w:val="single" w:sz="8" w:space="0" w:color="auto"/>
            </w:tcBorders>
            <w:shd w:val="clear" w:color="auto" w:fill="auto"/>
            <w:vAlign w:val="center"/>
            <w:hideMark/>
          </w:tcPr>
          <w:p w14:paraId="313FD524" w14:textId="77777777" w:rsidR="005F2E70" w:rsidRPr="005F2E70" w:rsidRDefault="005F2E70" w:rsidP="005F2E70">
            <w:pPr>
              <w:spacing w:after="0" w:line="240" w:lineRule="auto"/>
              <w:jc w:val="both"/>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B1</w:t>
            </w:r>
          </w:p>
        </w:tc>
        <w:tc>
          <w:tcPr>
            <w:tcW w:w="1400" w:type="dxa"/>
            <w:tcBorders>
              <w:top w:val="nil"/>
              <w:left w:val="nil"/>
              <w:bottom w:val="single" w:sz="8" w:space="0" w:color="auto"/>
              <w:right w:val="single" w:sz="8" w:space="0" w:color="auto"/>
            </w:tcBorders>
            <w:shd w:val="clear" w:color="auto" w:fill="auto"/>
            <w:vAlign w:val="center"/>
            <w:hideMark/>
          </w:tcPr>
          <w:p w14:paraId="78E08E4E" w14:textId="77777777" w:rsidR="005F2E70" w:rsidRPr="005F2E70" w:rsidRDefault="005F2E70" w:rsidP="005F2E70">
            <w:pPr>
              <w:spacing w:after="0" w:line="240" w:lineRule="auto"/>
              <w:jc w:val="both"/>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1</w:t>
            </w:r>
          </w:p>
        </w:tc>
        <w:tc>
          <w:tcPr>
            <w:tcW w:w="1340" w:type="dxa"/>
            <w:tcBorders>
              <w:top w:val="nil"/>
              <w:left w:val="nil"/>
              <w:bottom w:val="single" w:sz="8" w:space="0" w:color="auto"/>
              <w:right w:val="single" w:sz="8" w:space="0" w:color="auto"/>
            </w:tcBorders>
            <w:shd w:val="clear" w:color="auto" w:fill="auto"/>
            <w:vAlign w:val="center"/>
            <w:hideMark/>
          </w:tcPr>
          <w:p w14:paraId="59C04A6F"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6.452,66 €</w:t>
            </w:r>
          </w:p>
        </w:tc>
        <w:tc>
          <w:tcPr>
            <w:tcW w:w="1360" w:type="dxa"/>
            <w:tcBorders>
              <w:top w:val="nil"/>
              <w:left w:val="nil"/>
              <w:bottom w:val="nil"/>
              <w:right w:val="single" w:sz="8" w:space="0" w:color="auto"/>
            </w:tcBorders>
            <w:shd w:val="clear" w:color="auto" w:fill="auto"/>
            <w:vAlign w:val="center"/>
            <w:hideMark/>
          </w:tcPr>
          <w:p w14:paraId="40F46728"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36.194,30 €</w:t>
            </w:r>
          </w:p>
        </w:tc>
        <w:tc>
          <w:tcPr>
            <w:tcW w:w="1280" w:type="dxa"/>
            <w:tcBorders>
              <w:top w:val="nil"/>
              <w:left w:val="nil"/>
              <w:bottom w:val="nil"/>
              <w:right w:val="single" w:sz="8" w:space="0" w:color="auto"/>
            </w:tcBorders>
            <w:shd w:val="clear" w:color="auto" w:fill="auto"/>
            <w:vAlign w:val="center"/>
            <w:hideMark/>
          </w:tcPr>
          <w:p w14:paraId="7B263368"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36.194,30 €</w:t>
            </w:r>
          </w:p>
        </w:tc>
      </w:tr>
      <w:tr w:rsidR="005F2E70" w:rsidRPr="005F2E70" w14:paraId="7DBF2739" w14:textId="77777777" w:rsidTr="005F2E70">
        <w:trPr>
          <w:trHeight w:val="510"/>
        </w:trPr>
        <w:tc>
          <w:tcPr>
            <w:tcW w:w="2040" w:type="dxa"/>
            <w:tcBorders>
              <w:top w:val="nil"/>
              <w:left w:val="single" w:sz="8" w:space="0" w:color="auto"/>
              <w:bottom w:val="nil"/>
              <w:right w:val="single" w:sz="8" w:space="0" w:color="auto"/>
            </w:tcBorders>
            <w:shd w:val="clear" w:color="auto" w:fill="auto"/>
            <w:vAlign w:val="center"/>
            <w:hideMark/>
          </w:tcPr>
          <w:p w14:paraId="24E77AD4" w14:textId="77777777" w:rsidR="005F2E70" w:rsidRPr="005F2E70" w:rsidRDefault="005F2E70" w:rsidP="005F2E70">
            <w:pPr>
              <w:spacing w:after="0" w:line="240" w:lineRule="auto"/>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INTERINALE</w:t>
            </w:r>
          </w:p>
        </w:tc>
        <w:tc>
          <w:tcPr>
            <w:tcW w:w="1400" w:type="dxa"/>
            <w:tcBorders>
              <w:top w:val="nil"/>
              <w:left w:val="nil"/>
              <w:bottom w:val="nil"/>
              <w:right w:val="single" w:sz="8" w:space="0" w:color="auto"/>
            </w:tcBorders>
            <w:shd w:val="clear" w:color="auto" w:fill="auto"/>
            <w:vAlign w:val="center"/>
            <w:hideMark/>
          </w:tcPr>
          <w:p w14:paraId="5F5FE923" w14:textId="77777777" w:rsidR="005F2E70" w:rsidRPr="005F2E70" w:rsidRDefault="005F2E70" w:rsidP="005F2E70">
            <w:pPr>
              <w:spacing w:after="0" w:line="240" w:lineRule="auto"/>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1</w:t>
            </w:r>
          </w:p>
        </w:tc>
        <w:tc>
          <w:tcPr>
            <w:tcW w:w="1340" w:type="dxa"/>
            <w:tcBorders>
              <w:top w:val="nil"/>
              <w:left w:val="nil"/>
              <w:bottom w:val="nil"/>
              <w:right w:val="single" w:sz="8" w:space="0" w:color="auto"/>
            </w:tcBorders>
            <w:shd w:val="clear" w:color="auto" w:fill="auto"/>
            <w:vAlign w:val="center"/>
            <w:hideMark/>
          </w:tcPr>
          <w:p w14:paraId="7D7FC08C"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34.637,98 €</w:t>
            </w:r>
          </w:p>
        </w:tc>
        <w:tc>
          <w:tcPr>
            <w:tcW w:w="1360" w:type="dxa"/>
            <w:tcBorders>
              <w:top w:val="single" w:sz="8" w:space="0" w:color="auto"/>
              <w:left w:val="nil"/>
              <w:bottom w:val="single" w:sz="8" w:space="0" w:color="auto"/>
              <w:right w:val="single" w:sz="8" w:space="0" w:color="auto"/>
            </w:tcBorders>
            <w:shd w:val="clear" w:color="auto" w:fill="auto"/>
            <w:noWrap/>
            <w:vAlign w:val="center"/>
            <w:hideMark/>
          </w:tcPr>
          <w:p w14:paraId="290ABD16" w14:textId="77777777" w:rsidR="005F2E70" w:rsidRPr="005F2E70" w:rsidRDefault="005F2E70" w:rsidP="005F2E70">
            <w:pPr>
              <w:spacing w:after="0" w:line="240" w:lineRule="auto"/>
              <w:jc w:val="center"/>
              <w:rPr>
                <w:rFonts w:ascii="Aptos Narrow" w:eastAsia="Times New Roman" w:hAnsi="Aptos Narrow" w:cs="Times New Roman"/>
                <w:color w:val="002060"/>
                <w:lang w:eastAsia="it-IT"/>
              </w:rPr>
            </w:pPr>
            <w:r w:rsidRPr="005F2E70">
              <w:rPr>
                <w:rFonts w:ascii="Aptos Narrow" w:eastAsia="Times New Roman" w:hAnsi="Aptos Narrow" w:cs="Times New Roman"/>
                <w:color w:val="002060"/>
                <w:lang w:eastAsia="it-IT"/>
              </w:rPr>
              <w:t>0</w:t>
            </w:r>
          </w:p>
        </w:tc>
        <w:tc>
          <w:tcPr>
            <w:tcW w:w="1280" w:type="dxa"/>
            <w:tcBorders>
              <w:top w:val="single" w:sz="8" w:space="0" w:color="auto"/>
              <w:left w:val="nil"/>
              <w:bottom w:val="single" w:sz="8" w:space="0" w:color="auto"/>
              <w:right w:val="single" w:sz="8" w:space="0" w:color="auto"/>
            </w:tcBorders>
            <w:shd w:val="clear" w:color="auto" w:fill="auto"/>
            <w:noWrap/>
            <w:vAlign w:val="center"/>
            <w:hideMark/>
          </w:tcPr>
          <w:p w14:paraId="1C04C325" w14:textId="77777777" w:rsidR="005F2E70" w:rsidRPr="005F2E70" w:rsidRDefault="005F2E70" w:rsidP="005F2E70">
            <w:pPr>
              <w:spacing w:after="0" w:line="240" w:lineRule="auto"/>
              <w:jc w:val="center"/>
              <w:rPr>
                <w:rFonts w:ascii="Aptos Narrow" w:eastAsia="Times New Roman" w:hAnsi="Aptos Narrow" w:cs="Times New Roman"/>
                <w:color w:val="002060"/>
                <w:lang w:eastAsia="it-IT"/>
              </w:rPr>
            </w:pPr>
            <w:r w:rsidRPr="005F2E70">
              <w:rPr>
                <w:rFonts w:ascii="Aptos Narrow" w:eastAsia="Times New Roman" w:hAnsi="Aptos Narrow" w:cs="Times New Roman"/>
                <w:color w:val="002060"/>
                <w:lang w:eastAsia="it-IT"/>
              </w:rPr>
              <w:t>0</w:t>
            </w:r>
          </w:p>
        </w:tc>
      </w:tr>
      <w:tr w:rsidR="005F2E70" w:rsidRPr="005F2E70" w14:paraId="72BC573E" w14:textId="77777777" w:rsidTr="005F2E70">
        <w:trPr>
          <w:trHeight w:val="510"/>
        </w:trPr>
        <w:tc>
          <w:tcPr>
            <w:tcW w:w="20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950AC2C" w14:textId="77777777" w:rsidR="005F2E70" w:rsidRPr="005F2E70" w:rsidRDefault="005F2E70" w:rsidP="005F2E70">
            <w:pPr>
              <w:spacing w:after="0" w:line="240" w:lineRule="auto"/>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 </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16E9CE35" w14:textId="77777777" w:rsidR="005F2E70" w:rsidRPr="005F2E70" w:rsidRDefault="005F2E70" w:rsidP="005F2E70">
            <w:pPr>
              <w:spacing w:after="0" w:line="240" w:lineRule="auto"/>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 </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14:paraId="22987FE7" w14:textId="77777777" w:rsidR="005F2E70" w:rsidRPr="005F2E70" w:rsidRDefault="005F2E70" w:rsidP="005F2E70">
            <w:pPr>
              <w:spacing w:after="0" w:line="240" w:lineRule="auto"/>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 </w:t>
            </w:r>
          </w:p>
        </w:tc>
        <w:tc>
          <w:tcPr>
            <w:tcW w:w="1360" w:type="dxa"/>
            <w:tcBorders>
              <w:top w:val="nil"/>
              <w:left w:val="nil"/>
              <w:bottom w:val="single" w:sz="8" w:space="0" w:color="auto"/>
              <w:right w:val="single" w:sz="8" w:space="0" w:color="auto"/>
            </w:tcBorders>
            <w:shd w:val="clear" w:color="auto" w:fill="auto"/>
            <w:vAlign w:val="center"/>
            <w:hideMark/>
          </w:tcPr>
          <w:p w14:paraId="4F6F80AE"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 </w:t>
            </w:r>
          </w:p>
        </w:tc>
        <w:tc>
          <w:tcPr>
            <w:tcW w:w="1280" w:type="dxa"/>
            <w:tcBorders>
              <w:top w:val="nil"/>
              <w:left w:val="nil"/>
              <w:bottom w:val="single" w:sz="8" w:space="0" w:color="auto"/>
              <w:right w:val="single" w:sz="8" w:space="0" w:color="auto"/>
            </w:tcBorders>
            <w:shd w:val="clear" w:color="auto" w:fill="auto"/>
            <w:vAlign w:val="center"/>
            <w:hideMark/>
          </w:tcPr>
          <w:p w14:paraId="03A88328" w14:textId="77777777" w:rsidR="005F2E70" w:rsidRPr="005F2E70" w:rsidRDefault="005F2E70" w:rsidP="005F2E70">
            <w:pPr>
              <w:spacing w:after="0" w:line="240" w:lineRule="auto"/>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 </w:t>
            </w:r>
          </w:p>
        </w:tc>
      </w:tr>
      <w:tr w:rsidR="005F2E70" w:rsidRPr="005F2E70" w14:paraId="388AAC15" w14:textId="77777777" w:rsidTr="005F2E70">
        <w:trPr>
          <w:trHeight w:val="960"/>
        </w:trPr>
        <w:tc>
          <w:tcPr>
            <w:tcW w:w="344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E6BCAD4" w14:textId="77777777" w:rsidR="005F2E70" w:rsidRPr="005F2E70" w:rsidRDefault="005F2E70" w:rsidP="005F2E70">
            <w:pPr>
              <w:spacing w:after="0" w:line="240" w:lineRule="auto"/>
              <w:jc w:val="both"/>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COSTI PREVISTI</w:t>
            </w:r>
          </w:p>
        </w:tc>
        <w:tc>
          <w:tcPr>
            <w:tcW w:w="1340" w:type="dxa"/>
            <w:tcBorders>
              <w:top w:val="nil"/>
              <w:left w:val="nil"/>
              <w:bottom w:val="single" w:sz="8" w:space="0" w:color="auto"/>
              <w:right w:val="single" w:sz="8" w:space="0" w:color="auto"/>
            </w:tcBorders>
            <w:shd w:val="clear" w:color="auto" w:fill="auto"/>
            <w:vAlign w:val="center"/>
            <w:hideMark/>
          </w:tcPr>
          <w:p w14:paraId="4850F0AC" w14:textId="77777777" w:rsidR="005F2E70" w:rsidRPr="005F2E70" w:rsidRDefault="005F2E70" w:rsidP="005F2E70">
            <w:pPr>
              <w:spacing w:after="0" w:line="240" w:lineRule="auto"/>
              <w:jc w:val="both"/>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80.741,44 €</w:t>
            </w:r>
          </w:p>
        </w:tc>
        <w:tc>
          <w:tcPr>
            <w:tcW w:w="1360" w:type="dxa"/>
            <w:tcBorders>
              <w:top w:val="nil"/>
              <w:left w:val="nil"/>
              <w:bottom w:val="single" w:sz="8" w:space="0" w:color="auto"/>
              <w:right w:val="single" w:sz="8" w:space="0" w:color="auto"/>
            </w:tcBorders>
            <w:shd w:val="clear" w:color="auto" w:fill="auto"/>
            <w:vAlign w:val="center"/>
            <w:hideMark/>
          </w:tcPr>
          <w:p w14:paraId="642DBF2A" w14:textId="77777777" w:rsidR="005F2E70" w:rsidRPr="005F2E70" w:rsidRDefault="005F2E70" w:rsidP="005F2E70">
            <w:pPr>
              <w:spacing w:after="0" w:line="240" w:lineRule="auto"/>
              <w:jc w:val="both"/>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75.845,10 €</w:t>
            </w:r>
          </w:p>
        </w:tc>
        <w:tc>
          <w:tcPr>
            <w:tcW w:w="1280" w:type="dxa"/>
            <w:tcBorders>
              <w:top w:val="nil"/>
              <w:left w:val="nil"/>
              <w:bottom w:val="single" w:sz="8" w:space="0" w:color="auto"/>
              <w:right w:val="single" w:sz="8" w:space="0" w:color="auto"/>
            </w:tcBorders>
            <w:shd w:val="clear" w:color="auto" w:fill="auto"/>
            <w:vAlign w:val="center"/>
            <w:hideMark/>
          </w:tcPr>
          <w:p w14:paraId="4A0B8F71" w14:textId="77777777" w:rsidR="005F2E70" w:rsidRPr="005F2E70" w:rsidRDefault="005F2E70" w:rsidP="005F2E70">
            <w:pPr>
              <w:spacing w:after="0" w:line="240" w:lineRule="auto"/>
              <w:jc w:val="both"/>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75.845,10 €</w:t>
            </w:r>
          </w:p>
        </w:tc>
      </w:tr>
      <w:tr w:rsidR="005F2E70" w:rsidRPr="005F2E70" w14:paraId="28B2EC45" w14:textId="77777777" w:rsidTr="005F2E70">
        <w:trPr>
          <w:trHeight w:val="645"/>
        </w:trPr>
        <w:tc>
          <w:tcPr>
            <w:tcW w:w="344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AF866CA" w14:textId="77777777" w:rsidR="005F2E70" w:rsidRPr="005F2E70" w:rsidRDefault="005F2E70" w:rsidP="005F2E70">
            <w:pPr>
              <w:spacing w:after="0" w:line="240" w:lineRule="auto"/>
              <w:jc w:val="center"/>
              <w:rPr>
                <w:rFonts w:ascii="Calibri" w:eastAsia="Times New Roman" w:hAnsi="Calibri" w:cs="Calibri"/>
                <w:color w:val="002060"/>
                <w:sz w:val="24"/>
                <w:szCs w:val="24"/>
                <w:lang w:eastAsia="it-IT"/>
              </w:rPr>
            </w:pPr>
            <w:r w:rsidRPr="005F2E70">
              <w:rPr>
                <w:rFonts w:ascii="Calibri" w:eastAsia="Times New Roman" w:hAnsi="Calibri" w:cs="Calibri"/>
                <w:color w:val="002060"/>
                <w:sz w:val="24"/>
                <w:szCs w:val="24"/>
                <w:lang w:eastAsia="it-IT"/>
              </w:rPr>
              <w:t>COSTO TOTALE NEL TRIENNIO</w:t>
            </w:r>
          </w:p>
        </w:tc>
        <w:tc>
          <w:tcPr>
            <w:tcW w:w="398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68C1FF5" w14:textId="77777777" w:rsidR="005F2E70" w:rsidRPr="005F2E70" w:rsidRDefault="005F2E70" w:rsidP="005F2E70">
            <w:pPr>
              <w:spacing w:after="0" w:line="240" w:lineRule="auto"/>
              <w:jc w:val="center"/>
              <w:rPr>
                <w:rFonts w:ascii="Aptos Narrow" w:eastAsia="Times New Roman" w:hAnsi="Aptos Narrow" w:cs="Times New Roman"/>
                <w:color w:val="002060"/>
                <w:lang w:eastAsia="it-IT"/>
              </w:rPr>
            </w:pPr>
            <w:r w:rsidRPr="005F2E70">
              <w:rPr>
                <w:rFonts w:ascii="Aptos Narrow" w:eastAsia="Times New Roman" w:hAnsi="Aptos Narrow" w:cs="Times New Roman"/>
                <w:color w:val="002060"/>
                <w:lang w:eastAsia="it-IT"/>
              </w:rPr>
              <w:t>232.431,64 €</w:t>
            </w:r>
          </w:p>
        </w:tc>
      </w:tr>
    </w:tbl>
    <w:p w14:paraId="0DA86622" w14:textId="77777777" w:rsidR="006E71DD" w:rsidRPr="00853781" w:rsidRDefault="006E71DD" w:rsidP="006E71DD">
      <w:pPr>
        <w:spacing w:after="0" w:line="240" w:lineRule="auto"/>
        <w:jc w:val="both"/>
        <w:rPr>
          <w:rFonts w:eastAsia="Calibri" w:cstheme="minorHAnsi"/>
          <w:color w:val="002060"/>
          <w:sz w:val="24"/>
          <w:szCs w:val="24"/>
          <w:lang w:eastAsia="it-IT"/>
        </w:rPr>
      </w:pPr>
    </w:p>
    <w:p w14:paraId="6B6FADBE" w14:textId="69FA9B57" w:rsidR="001524B0" w:rsidRPr="00853781" w:rsidRDefault="001524B0" w:rsidP="001524B0">
      <w:pPr>
        <w:spacing w:after="0" w:line="240" w:lineRule="auto"/>
        <w:ind w:right="55"/>
        <w:jc w:val="both"/>
        <w:rPr>
          <w:rFonts w:eastAsia="Calibri" w:cstheme="minorHAnsi"/>
          <w:color w:val="002060"/>
          <w:sz w:val="24"/>
          <w:szCs w:val="24"/>
          <w:lang w:eastAsia="it-IT"/>
        </w:rPr>
      </w:pPr>
      <w:r w:rsidRPr="00853781">
        <w:rPr>
          <w:rFonts w:eastAsia="Calibri" w:cstheme="minorHAnsi"/>
          <w:color w:val="002060"/>
          <w:sz w:val="24"/>
          <w:szCs w:val="24"/>
          <w:lang w:eastAsia="it-IT"/>
        </w:rPr>
        <w:t>Al riguardo si consideri che il Collegio si trova in una situazione di equilibrio economico finanziario, come risulta dalle attestazioni rese dal tesoriere Geom. Daniela Borlenghi, relative agli anni 2024-2026 e allegate alla presente (</w:t>
      </w:r>
      <w:r w:rsidRPr="00606E26">
        <w:rPr>
          <w:rFonts w:eastAsia="Calibri" w:cstheme="minorHAnsi"/>
          <w:b/>
          <w:bCs/>
          <w:color w:val="002060"/>
          <w:sz w:val="24"/>
          <w:szCs w:val="24"/>
          <w:lang w:eastAsia="it-IT"/>
        </w:rPr>
        <w:t xml:space="preserve">allegato prot. n. </w:t>
      </w:r>
      <w:r w:rsidR="00606E26" w:rsidRPr="00606E26">
        <w:rPr>
          <w:rFonts w:eastAsia="Calibri" w:cstheme="minorHAnsi"/>
          <w:b/>
          <w:bCs/>
          <w:color w:val="002060"/>
          <w:sz w:val="24"/>
          <w:szCs w:val="24"/>
          <w:lang w:eastAsia="it-IT"/>
        </w:rPr>
        <w:t>61</w:t>
      </w:r>
      <w:r w:rsidRPr="00606E26">
        <w:rPr>
          <w:rFonts w:eastAsia="Calibri" w:cstheme="minorHAnsi"/>
          <w:b/>
          <w:bCs/>
          <w:color w:val="002060"/>
          <w:sz w:val="24"/>
          <w:szCs w:val="24"/>
          <w:lang w:eastAsia="it-IT"/>
        </w:rPr>
        <w:t>/202</w:t>
      </w:r>
      <w:r w:rsidR="00606E26" w:rsidRPr="00606E26">
        <w:rPr>
          <w:rFonts w:eastAsia="Calibri" w:cstheme="minorHAnsi"/>
          <w:b/>
          <w:bCs/>
          <w:color w:val="002060"/>
          <w:sz w:val="24"/>
          <w:szCs w:val="24"/>
          <w:lang w:eastAsia="it-IT"/>
        </w:rPr>
        <w:t>5</w:t>
      </w:r>
      <w:r w:rsidRPr="00853781">
        <w:rPr>
          <w:rFonts w:eastAsia="Calibri" w:cstheme="minorHAnsi"/>
          <w:color w:val="002060"/>
          <w:sz w:val="24"/>
          <w:szCs w:val="24"/>
          <w:lang w:eastAsia="it-IT"/>
        </w:rPr>
        <w:t>).</w:t>
      </w:r>
      <w:bookmarkStart w:id="2" w:name="_heading=h.1t3h5sf" w:colFirst="0" w:colLast="0"/>
      <w:bookmarkEnd w:id="2"/>
    </w:p>
    <w:p w14:paraId="2275002D" w14:textId="77777777" w:rsidR="00E25FB2" w:rsidRDefault="00E25FB2" w:rsidP="006E71DD">
      <w:pPr>
        <w:spacing w:after="0" w:line="240" w:lineRule="auto"/>
        <w:ind w:right="55"/>
        <w:jc w:val="both"/>
        <w:rPr>
          <w:rFonts w:eastAsia="Calibri" w:cstheme="minorHAnsi"/>
          <w:color w:val="002060"/>
          <w:sz w:val="24"/>
          <w:szCs w:val="24"/>
          <w:lang w:eastAsia="it-IT"/>
        </w:rPr>
      </w:pPr>
    </w:p>
    <w:p w14:paraId="719F81EA" w14:textId="77777777" w:rsidR="00D67B1B" w:rsidRDefault="00D67B1B" w:rsidP="006E71DD">
      <w:pPr>
        <w:spacing w:after="0" w:line="240" w:lineRule="auto"/>
        <w:ind w:right="55"/>
        <w:jc w:val="both"/>
        <w:rPr>
          <w:rFonts w:eastAsia="Calibri" w:cstheme="minorHAnsi"/>
          <w:color w:val="002060"/>
          <w:sz w:val="24"/>
          <w:szCs w:val="24"/>
          <w:lang w:eastAsia="it-IT"/>
        </w:rPr>
      </w:pPr>
    </w:p>
    <w:p w14:paraId="46AB74F7" w14:textId="77777777" w:rsidR="00037A5C" w:rsidRDefault="00037A5C" w:rsidP="006E71DD">
      <w:pPr>
        <w:spacing w:after="0" w:line="240" w:lineRule="auto"/>
        <w:ind w:right="55"/>
        <w:jc w:val="both"/>
        <w:rPr>
          <w:rFonts w:eastAsia="Calibri" w:cstheme="minorHAnsi"/>
          <w:color w:val="002060"/>
          <w:sz w:val="24"/>
          <w:szCs w:val="24"/>
          <w:lang w:eastAsia="it-IT"/>
        </w:rPr>
      </w:pPr>
    </w:p>
    <w:p w14:paraId="7F6A1A0E" w14:textId="77777777" w:rsidR="00037A5C" w:rsidRDefault="00037A5C" w:rsidP="006E71DD">
      <w:pPr>
        <w:spacing w:after="0" w:line="240" w:lineRule="auto"/>
        <w:ind w:right="55"/>
        <w:jc w:val="both"/>
        <w:rPr>
          <w:rFonts w:eastAsia="Calibri" w:cstheme="minorHAnsi"/>
          <w:color w:val="002060"/>
          <w:sz w:val="24"/>
          <w:szCs w:val="24"/>
          <w:lang w:eastAsia="it-IT"/>
        </w:rPr>
      </w:pPr>
    </w:p>
    <w:p w14:paraId="7063434D" w14:textId="77777777" w:rsidR="00037A5C" w:rsidRDefault="00037A5C" w:rsidP="006E71DD">
      <w:pPr>
        <w:spacing w:after="0" w:line="240" w:lineRule="auto"/>
        <w:ind w:right="55"/>
        <w:jc w:val="both"/>
        <w:rPr>
          <w:rFonts w:eastAsia="Calibri" w:cstheme="minorHAnsi"/>
          <w:color w:val="002060"/>
          <w:sz w:val="24"/>
          <w:szCs w:val="24"/>
          <w:lang w:eastAsia="it-IT"/>
        </w:rPr>
      </w:pPr>
    </w:p>
    <w:p w14:paraId="1B27F94F" w14:textId="053296A2" w:rsidR="00117C81" w:rsidRPr="009B77A6" w:rsidRDefault="00117C81" w:rsidP="00117C81">
      <w:pPr>
        <w:spacing w:after="0" w:line="240" w:lineRule="auto"/>
        <w:jc w:val="both"/>
        <w:rPr>
          <w:rFonts w:eastAsia="Calibri" w:cstheme="minorHAnsi"/>
          <w:color w:val="002060"/>
          <w:sz w:val="24"/>
          <w:szCs w:val="24"/>
          <w:lang w:eastAsia="it-IT"/>
        </w:rPr>
      </w:pPr>
      <w:r w:rsidRPr="00853781">
        <w:rPr>
          <w:rFonts w:eastAsia="Calibri" w:cstheme="minorHAnsi"/>
          <w:color w:val="002060"/>
          <w:sz w:val="24"/>
          <w:szCs w:val="24"/>
          <w:lang w:eastAsia="it-IT"/>
        </w:rPr>
        <w:t>Sul piano finanziario il costo dell’unità di personale da assumere è riportato nella seguente tabella:</w:t>
      </w:r>
    </w:p>
    <w:tbl>
      <w:tblPr>
        <w:tblW w:w="7560" w:type="dxa"/>
        <w:tblCellMar>
          <w:left w:w="70" w:type="dxa"/>
          <w:right w:w="70" w:type="dxa"/>
        </w:tblCellMar>
        <w:tblLook w:val="04A0" w:firstRow="1" w:lastRow="0" w:firstColumn="1" w:lastColumn="0" w:noHBand="0" w:noVBand="1"/>
      </w:tblPr>
      <w:tblGrid>
        <w:gridCol w:w="1910"/>
        <w:gridCol w:w="590"/>
        <w:gridCol w:w="820"/>
        <w:gridCol w:w="1034"/>
        <w:gridCol w:w="820"/>
        <w:gridCol w:w="2400"/>
      </w:tblGrid>
      <w:tr w:rsidR="009B77A6" w:rsidRPr="009B77A6" w14:paraId="62C6C546" w14:textId="77777777" w:rsidTr="009B77A6">
        <w:trPr>
          <w:trHeight w:val="510"/>
        </w:trPr>
        <w:tc>
          <w:tcPr>
            <w:tcW w:w="2500" w:type="dxa"/>
            <w:gridSpan w:val="2"/>
            <w:tcBorders>
              <w:top w:val="single" w:sz="8" w:space="0" w:color="000000"/>
              <w:left w:val="single" w:sz="8" w:space="0" w:color="000000"/>
              <w:bottom w:val="single" w:sz="4" w:space="0" w:color="auto"/>
              <w:right w:val="single" w:sz="8" w:space="0" w:color="000000"/>
            </w:tcBorders>
            <w:shd w:val="clear" w:color="000000" w:fill="C5E0B3"/>
            <w:vAlign w:val="center"/>
            <w:hideMark/>
          </w:tcPr>
          <w:p w14:paraId="184EF5CD" w14:textId="77777777" w:rsidR="009B77A6" w:rsidRPr="009B77A6" w:rsidRDefault="009B77A6" w:rsidP="009B77A6">
            <w:pPr>
              <w:spacing w:after="0" w:line="240" w:lineRule="auto"/>
              <w:jc w:val="center"/>
              <w:rPr>
                <w:rFonts w:ascii="Calibri" w:eastAsia="Times New Roman" w:hAnsi="Calibri" w:cs="Calibri"/>
                <w:b/>
                <w:bCs/>
                <w:color w:val="002060"/>
                <w:lang w:eastAsia="it-IT"/>
              </w:rPr>
            </w:pPr>
            <w:r w:rsidRPr="009B77A6">
              <w:rPr>
                <w:rFonts w:ascii="Calibri" w:eastAsia="Times New Roman" w:hAnsi="Calibri" w:cs="Calibri"/>
                <w:b/>
                <w:bCs/>
                <w:color w:val="002060"/>
                <w:lang w:eastAsia="it-IT"/>
              </w:rPr>
              <w:lastRenderedPageBreak/>
              <w:t>AREA B - posizione economica 1 - INTERINALE anno 2025</w:t>
            </w:r>
          </w:p>
        </w:tc>
        <w:tc>
          <w:tcPr>
            <w:tcW w:w="820" w:type="dxa"/>
            <w:tcBorders>
              <w:top w:val="nil"/>
              <w:left w:val="nil"/>
              <w:bottom w:val="nil"/>
              <w:right w:val="nil"/>
            </w:tcBorders>
            <w:shd w:val="clear" w:color="auto" w:fill="auto"/>
            <w:noWrap/>
            <w:vAlign w:val="bottom"/>
            <w:hideMark/>
          </w:tcPr>
          <w:p w14:paraId="283870D9" w14:textId="77777777" w:rsidR="009B77A6" w:rsidRPr="009B77A6" w:rsidRDefault="009B77A6" w:rsidP="009B77A6">
            <w:pPr>
              <w:spacing w:after="0" w:line="240" w:lineRule="auto"/>
              <w:jc w:val="center"/>
              <w:rPr>
                <w:rFonts w:ascii="Calibri" w:eastAsia="Times New Roman" w:hAnsi="Calibri" w:cs="Calibri"/>
                <w:b/>
                <w:bCs/>
                <w:color w:val="002060"/>
                <w:lang w:eastAsia="it-IT"/>
              </w:rPr>
            </w:pPr>
          </w:p>
        </w:tc>
        <w:tc>
          <w:tcPr>
            <w:tcW w:w="1020" w:type="dxa"/>
            <w:tcBorders>
              <w:top w:val="nil"/>
              <w:left w:val="nil"/>
              <w:bottom w:val="nil"/>
              <w:right w:val="nil"/>
            </w:tcBorders>
            <w:shd w:val="clear" w:color="auto" w:fill="auto"/>
            <w:noWrap/>
            <w:vAlign w:val="bottom"/>
            <w:hideMark/>
          </w:tcPr>
          <w:p w14:paraId="184DF13A" w14:textId="77777777" w:rsidR="009B77A6" w:rsidRPr="009B77A6" w:rsidRDefault="009B77A6" w:rsidP="009B77A6">
            <w:pPr>
              <w:spacing w:after="0" w:line="240" w:lineRule="auto"/>
              <w:rPr>
                <w:rFonts w:ascii="Times New Roman" w:eastAsia="Times New Roman" w:hAnsi="Times New Roman" w:cs="Times New Roman"/>
                <w:color w:val="002060"/>
                <w:sz w:val="20"/>
                <w:szCs w:val="20"/>
                <w:lang w:eastAsia="it-IT"/>
              </w:rPr>
            </w:pPr>
          </w:p>
        </w:tc>
        <w:tc>
          <w:tcPr>
            <w:tcW w:w="820" w:type="dxa"/>
            <w:tcBorders>
              <w:top w:val="nil"/>
              <w:left w:val="nil"/>
              <w:bottom w:val="nil"/>
              <w:right w:val="nil"/>
            </w:tcBorders>
            <w:shd w:val="clear" w:color="auto" w:fill="auto"/>
            <w:noWrap/>
            <w:vAlign w:val="bottom"/>
            <w:hideMark/>
          </w:tcPr>
          <w:p w14:paraId="012C00FC" w14:textId="77777777" w:rsidR="009B77A6" w:rsidRPr="009B77A6" w:rsidRDefault="009B77A6" w:rsidP="009B77A6">
            <w:pPr>
              <w:spacing w:after="0" w:line="240" w:lineRule="auto"/>
              <w:rPr>
                <w:rFonts w:ascii="Times New Roman" w:eastAsia="Times New Roman" w:hAnsi="Times New Roman" w:cs="Times New Roman"/>
                <w:color w:val="002060"/>
                <w:sz w:val="20"/>
                <w:szCs w:val="20"/>
                <w:lang w:eastAsia="it-IT"/>
              </w:rPr>
            </w:pPr>
          </w:p>
        </w:tc>
        <w:tc>
          <w:tcPr>
            <w:tcW w:w="2400" w:type="dxa"/>
            <w:tcBorders>
              <w:top w:val="nil"/>
              <w:left w:val="nil"/>
              <w:bottom w:val="nil"/>
              <w:right w:val="nil"/>
            </w:tcBorders>
            <w:shd w:val="clear" w:color="auto" w:fill="auto"/>
            <w:noWrap/>
            <w:vAlign w:val="bottom"/>
            <w:hideMark/>
          </w:tcPr>
          <w:p w14:paraId="102E7EE5" w14:textId="77777777" w:rsidR="009B77A6" w:rsidRPr="009B77A6" w:rsidRDefault="009B77A6" w:rsidP="009B77A6">
            <w:pPr>
              <w:spacing w:after="0" w:line="240" w:lineRule="auto"/>
              <w:rPr>
                <w:rFonts w:ascii="Times New Roman" w:eastAsia="Times New Roman" w:hAnsi="Times New Roman" w:cs="Times New Roman"/>
                <w:color w:val="002060"/>
                <w:sz w:val="20"/>
                <w:szCs w:val="20"/>
                <w:lang w:eastAsia="it-IT"/>
              </w:rPr>
            </w:pPr>
          </w:p>
        </w:tc>
      </w:tr>
      <w:tr w:rsidR="009B77A6" w:rsidRPr="009B77A6" w14:paraId="119F063B" w14:textId="77777777" w:rsidTr="009B77A6">
        <w:trPr>
          <w:trHeight w:val="510"/>
        </w:trPr>
        <w:tc>
          <w:tcPr>
            <w:tcW w:w="1910" w:type="dxa"/>
            <w:tcBorders>
              <w:top w:val="nil"/>
              <w:left w:val="single" w:sz="4" w:space="0" w:color="000000"/>
              <w:bottom w:val="nil"/>
              <w:right w:val="nil"/>
            </w:tcBorders>
            <w:shd w:val="clear" w:color="auto" w:fill="auto"/>
            <w:noWrap/>
            <w:vAlign w:val="center"/>
            <w:hideMark/>
          </w:tcPr>
          <w:p w14:paraId="7E8AE89A" w14:textId="77777777" w:rsidR="009B77A6" w:rsidRPr="009B77A6" w:rsidRDefault="009B77A6" w:rsidP="009B77A6">
            <w:pPr>
              <w:spacing w:after="0" w:line="240" w:lineRule="auto"/>
              <w:rPr>
                <w:rFonts w:ascii="Aptos" w:eastAsia="Times New Roman" w:hAnsi="Aptos" w:cs="Times New Roman"/>
                <w:b/>
                <w:bCs/>
                <w:color w:val="002060"/>
                <w:sz w:val="24"/>
                <w:szCs w:val="24"/>
                <w:lang w:eastAsia="it-IT"/>
              </w:rPr>
            </w:pPr>
            <w:r w:rsidRPr="009B77A6">
              <w:rPr>
                <w:rFonts w:ascii="Aptos" w:eastAsia="Times New Roman" w:hAnsi="Aptos" w:cs="Times New Roman"/>
                <w:b/>
                <w:bCs/>
                <w:color w:val="002060"/>
                <w:sz w:val="24"/>
                <w:szCs w:val="24"/>
                <w:lang w:eastAsia="it-IT"/>
              </w:rPr>
              <w:t>mesi</w:t>
            </w:r>
          </w:p>
        </w:tc>
        <w:tc>
          <w:tcPr>
            <w:tcW w:w="590" w:type="dxa"/>
            <w:tcBorders>
              <w:top w:val="nil"/>
              <w:left w:val="nil"/>
              <w:bottom w:val="nil"/>
              <w:right w:val="nil"/>
            </w:tcBorders>
            <w:shd w:val="clear" w:color="auto" w:fill="auto"/>
            <w:noWrap/>
            <w:vAlign w:val="center"/>
            <w:hideMark/>
          </w:tcPr>
          <w:p w14:paraId="320A601F" w14:textId="77777777" w:rsidR="009B77A6" w:rsidRPr="009B77A6" w:rsidRDefault="009B77A6" w:rsidP="009B77A6">
            <w:pPr>
              <w:spacing w:after="0" w:line="240" w:lineRule="auto"/>
              <w:rPr>
                <w:rFonts w:ascii="Aptos" w:eastAsia="Times New Roman" w:hAnsi="Aptos" w:cs="Times New Roman"/>
                <w:b/>
                <w:bCs/>
                <w:color w:val="002060"/>
                <w:sz w:val="24"/>
                <w:szCs w:val="24"/>
                <w:lang w:eastAsia="it-IT"/>
              </w:rPr>
            </w:pPr>
            <w:r w:rsidRPr="009B77A6">
              <w:rPr>
                <w:rFonts w:ascii="Aptos" w:eastAsia="Times New Roman" w:hAnsi="Aptos" w:cs="Times New Roman"/>
                <w:b/>
                <w:bCs/>
                <w:color w:val="002060"/>
                <w:sz w:val="24"/>
                <w:szCs w:val="24"/>
                <w:lang w:eastAsia="it-IT"/>
              </w:rPr>
              <w:t>ore</w:t>
            </w:r>
          </w:p>
        </w:tc>
        <w:tc>
          <w:tcPr>
            <w:tcW w:w="820" w:type="dxa"/>
            <w:tcBorders>
              <w:top w:val="single" w:sz="4" w:space="0" w:color="000000"/>
              <w:left w:val="nil"/>
              <w:bottom w:val="nil"/>
              <w:right w:val="nil"/>
            </w:tcBorders>
            <w:shd w:val="clear" w:color="auto" w:fill="auto"/>
            <w:noWrap/>
            <w:vAlign w:val="center"/>
            <w:hideMark/>
          </w:tcPr>
          <w:p w14:paraId="5316489F" w14:textId="77777777" w:rsidR="009B77A6" w:rsidRPr="009B77A6" w:rsidRDefault="009B77A6" w:rsidP="009B77A6">
            <w:pPr>
              <w:spacing w:after="0" w:line="240" w:lineRule="auto"/>
              <w:rPr>
                <w:rFonts w:ascii="Aptos" w:eastAsia="Times New Roman" w:hAnsi="Aptos" w:cs="Times New Roman"/>
                <w:b/>
                <w:bCs/>
                <w:color w:val="002060"/>
                <w:sz w:val="24"/>
                <w:szCs w:val="24"/>
                <w:lang w:eastAsia="it-IT"/>
              </w:rPr>
            </w:pPr>
            <w:r w:rsidRPr="009B77A6">
              <w:rPr>
                <w:rFonts w:ascii="Aptos" w:eastAsia="Times New Roman" w:hAnsi="Aptos" w:cs="Times New Roman"/>
                <w:b/>
                <w:bCs/>
                <w:color w:val="002060"/>
                <w:sz w:val="24"/>
                <w:szCs w:val="24"/>
                <w:lang w:eastAsia="it-IT"/>
              </w:rPr>
              <w:t>costo</w:t>
            </w:r>
          </w:p>
        </w:tc>
        <w:tc>
          <w:tcPr>
            <w:tcW w:w="1020" w:type="dxa"/>
            <w:tcBorders>
              <w:top w:val="single" w:sz="4" w:space="0" w:color="000000"/>
              <w:left w:val="nil"/>
              <w:bottom w:val="nil"/>
              <w:right w:val="nil"/>
            </w:tcBorders>
            <w:shd w:val="clear" w:color="auto" w:fill="auto"/>
            <w:noWrap/>
            <w:vAlign w:val="center"/>
            <w:hideMark/>
          </w:tcPr>
          <w:p w14:paraId="18ECE0EB" w14:textId="77777777" w:rsidR="009B77A6" w:rsidRPr="009B77A6" w:rsidRDefault="009B77A6" w:rsidP="009B77A6">
            <w:pPr>
              <w:spacing w:after="0" w:line="240" w:lineRule="auto"/>
              <w:rPr>
                <w:rFonts w:ascii="Aptos" w:eastAsia="Times New Roman" w:hAnsi="Aptos" w:cs="Times New Roman"/>
                <w:b/>
                <w:bCs/>
                <w:color w:val="002060"/>
                <w:sz w:val="24"/>
                <w:szCs w:val="24"/>
                <w:lang w:eastAsia="it-IT"/>
              </w:rPr>
            </w:pPr>
            <w:r w:rsidRPr="009B77A6">
              <w:rPr>
                <w:rFonts w:ascii="Aptos" w:eastAsia="Times New Roman" w:hAnsi="Aptos" w:cs="Times New Roman"/>
                <w:b/>
                <w:bCs/>
                <w:color w:val="002060"/>
                <w:sz w:val="24"/>
                <w:szCs w:val="24"/>
                <w:lang w:eastAsia="it-IT"/>
              </w:rPr>
              <w:t>margine</w:t>
            </w:r>
          </w:p>
        </w:tc>
        <w:tc>
          <w:tcPr>
            <w:tcW w:w="820" w:type="dxa"/>
            <w:tcBorders>
              <w:top w:val="single" w:sz="4" w:space="0" w:color="000000"/>
              <w:left w:val="nil"/>
              <w:bottom w:val="nil"/>
              <w:right w:val="nil"/>
            </w:tcBorders>
            <w:shd w:val="clear" w:color="auto" w:fill="auto"/>
            <w:noWrap/>
            <w:vAlign w:val="center"/>
            <w:hideMark/>
          </w:tcPr>
          <w:p w14:paraId="527D5317" w14:textId="77777777" w:rsidR="009B77A6" w:rsidRPr="009B77A6" w:rsidRDefault="009B77A6" w:rsidP="009B77A6">
            <w:pPr>
              <w:spacing w:after="0" w:line="240" w:lineRule="auto"/>
              <w:rPr>
                <w:rFonts w:ascii="Aptos" w:eastAsia="Times New Roman" w:hAnsi="Aptos" w:cs="Times New Roman"/>
                <w:b/>
                <w:bCs/>
                <w:color w:val="002060"/>
                <w:sz w:val="24"/>
                <w:szCs w:val="24"/>
                <w:lang w:eastAsia="it-IT"/>
              </w:rPr>
            </w:pPr>
            <w:r w:rsidRPr="009B77A6">
              <w:rPr>
                <w:rFonts w:ascii="Aptos" w:eastAsia="Times New Roman" w:hAnsi="Aptos" w:cs="Times New Roman"/>
                <w:b/>
                <w:bCs/>
                <w:color w:val="002060"/>
                <w:sz w:val="24"/>
                <w:szCs w:val="24"/>
                <w:lang w:eastAsia="it-IT"/>
              </w:rPr>
              <w:t>tariffa</w:t>
            </w:r>
          </w:p>
        </w:tc>
        <w:tc>
          <w:tcPr>
            <w:tcW w:w="2400" w:type="dxa"/>
            <w:tcBorders>
              <w:top w:val="single" w:sz="4" w:space="0" w:color="000000"/>
              <w:left w:val="nil"/>
              <w:bottom w:val="nil"/>
              <w:right w:val="single" w:sz="4" w:space="0" w:color="000000"/>
            </w:tcBorders>
            <w:shd w:val="clear" w:color="auto" w:fill="auto"/>
            <w:noWrap/>
            <w:vAlign w:val="center"/>
            <w:hideMark/>
          </w:tcPr>
          <w:p w14:paraId="2CE96A48" w14:textId="77777777" w:rsidR="009B77A6" w:rsidRPr="009B77A6" w:rsidRDefault="009B77A6" w:rsidP="009B77A6">
            <w:pPr>
              <w:spacing w:after="0" w:line="240" w:lineRule="auto"/>
              <w:rPr>
                <w:rFonts w:ascii="Aptos" w:eastAsia="Times New Roman" w:hAnsi="Aptos" w:cs="Times New Roman"/>
                <w:b/>
                <w:bCs/>
                <w:color w:val="002060"/>
                <w:sz w:val="24"/>
                <w:szCs w:val="24"/>
                <w:lang w:eastAsia="it-IT"/>
              </w:rPr>
            </w:pPr>
            <w:r w:rsidRPr="009B77A6">
              <w:rPr>
                <w:rFonts w:ascii="Aptos" w:eastAsia="Times New Roman" w:hAnsi="Aptos" w:cs="Times New Roman"/>
                <w:b/>
                <w:bCs/>
                <w:color w:val="002060"/>
                <w:sz w:val="24"/>
                <w:szCs w:val="24"/>
                <w:lang w:eastAsia="it-IT"/>
              </w:rPr>
              <w:t>tot impegno di spesa</w:t>
            </w:r>
          </w:p>
        </w:tc>
      </w:tr>
      <w:tr w:rsidR="009B77A6" w:rsidRPr="009B77A6" w14:paraId="6D4194ED" w14:textId="77777777" w:rsidTr="009B77A6">
        <w:trPr>
          <w:trHeight w:val="510"/>
        </w:trPr>
        <w:tc>
          <w:tcPr>
            <w:tcW w:w="1910" w:type="dxa"/>
            <w:tcBorders>
              <w:top w:val="nil"/>
              <w:left w:val="single" w:sz="4" w:space="0" w:color="000000"/>
              <w:bottom w:val="nil"/>
              <w:right w:val="nil"/>
            </w:tcBorders>
            <w:shd w:val="clear" w:color="auto" w:fill="auto"/>
            <w:noWrap/>
            <w:vAlign w:val="center"/>
            <w:hideMark/>
          </w:tcPr>
          <w:p w14:paraId="1CBEB025"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proofErr w:type="spellStart"/>
            <w:r w:rsidRPr="009B77A6">
              <w:rPr>
                <w:rFonts w:ascii="Aptos" w:eastAsia="Times New Roman" w:hAnsi="Aptos" w:cs="Times New Roman"/>
                <w:color w:val="002060"/>
                <w:sz w:val="24"/>
                <w:szCs w:val="24"/>
                <w:lang w:eastAsia="it-IT"/>
              </w:rPr>
              <w:t>gen</w:t>
            </w:r>
            <w:proofErr w:type="spellEnd"/>
          </w:p>
        </w:tc>
        <w:tc>
          <w:tcPr>
            <w:tcW w:w="590" w:type="dxa"/>
            <w:tcBorders>
              <w:top w:val="nil"/>
              <w:left w:val="nil"/>
              <w:bottom w:val="nil"/>
              <w:right w:val="nil"/>
            </w:tcBorders>
            <w:shd w:val="clear" w:color="auto" w:fill="auto"/>
            <w:noWrap/>
            <w:vAlign w:val="center"/>
            <w:hideMark/>
          </w:tcPr>
          <w:p w14:paraId="5A784372"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72</w:t>
            </w:r>
          </w:p>
        </w:tc>
        <w:tc>
          <w:tcPr>
            <w:tcW w:w="820" w:type="dxa"/>
            <w:tcBorders>
              <w:top w:val="nil"/>
              <w:left w:val="nil"/>
              <w:bottom w:val="nil"/>
              <w:right w:val="nil"/>
            </w:tcBorders>
            <w:shd w:val="clear" w:color="auto" w:fill="auto"/>
            <w:noWrap/>
            <w:vAlign w:val="center"/>
            <w:hideMark/>
          </w:tcPr>
          <w:p w14:paraId="52C05B9B"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19,64</w:t>
            </w:r>
          </w:p>
        </w:tc>
        <w:tc>
          <w:tcPr>
            <w:tcW w:w="1020" w:type="dxa"/>
            <w:tcBorders>
              <w:top w:val="nil"/>
              <w:left w:val="nil"/>
              <w:bottom w:val="nil"/>
              <w:right w:val="nil"/>
            </w:tcBorders>
            <w:shd w:val="clear" w:color="auto" w:fill="auto"/>
            <w:noWrap/>
            <w:vAlign w:val="center"/>
            <w:hideMark/>
          </w:tcPr>
          <w:p w14:paraId="3887386E"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1,34</w:t>
            </w:r>
          </w:p>
        </w:tc>
        <w:tc>
          <w:tcPr>
            <w:tcW w:w="820" w:type="dxa"/>
            <w:tcBorders>
              <w:top w:val="nil"/>
              <w:left w:val="nil"/>
              <w:bottom w:val="nil"/>
              <w:right w:val="nil"/>
            </w:tcBorders>
            <w:shd w:val="clear" w:color="auto" w:fill="auto"/>
            <w:noWrap/>
            <w:vAlign w:val="center"/>
            <w:hideMark/>
          </w:tcPr>
          <w:p w14:paraId="368C95C0"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20,98</w:t>
            </w:r>
          </w:p>
        </w:tc>
        <w:tc>
          <w:tcPr>
            <w:tcW w:w="2400" w:type="dxa"/>
            <w:tcBorders>
              <w:top w:val="nil"/>
              <w:left w:val="nil"/>
              <w:bottom w:val="nil"/>
              <w:right w:val="single" w:sz="4" w:space="0" w:color="000000"/>
            </w:tcBorders>
            <w:shd w:val="clear" w:color="auto" w:fill="auto"/>
            <w:noWrap/>
            <w:vAlign w:val="center"/>
            <w:hideMark/>
          </w:tcPr>
          <w:p w14:paraId="4A59ACA8"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1.510,56</w:t>
            </w:r>
          </w:p>
        </w:tc>
      </w:tr>
      <w:tr w:rsidR="009B77A6" w:rsidRPr="009B77A6" w14:paraId="205AC813" w14:textId="77777777" w:rsidTr="009B77A6">
        <w:trPr>
          <w:trHeight w:val="510"/>
        </w:trPr>
        <w:tc>
          <w:tcPr>
            <w:tcW w:w="1910" w:type="dxa"/>
            <w:tcBorders>
              <w:top w:val="nil"/>
              <w:left w:val="single" w:sz="4" w:space="0" w:color="000000"/>
              <w:bottom w:val="nil"/>
              <w:right w:val="nil"/>
            </w:tcBorders>
            <w:shd w:val="clear" w:color="auto" w:fill="auto"/>
            <w:noWrap/>
            <w:vAlign w:val="center"/>
            <w:hideMark/>
          </w:tcPr>
          <w:p w14:paraId="07FB3785"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proofErr w:type="spellStart"/>
            <w:r w:rsidRPr="009B77A6">
              <w:rPr>
                <w:rFonts w:ascii="Aptos" w:eastAsia="Times New Roman" w:hAnsi="Aptos" w:cs="Times New Roman"/>
                <w:color w:val="002060"/>
                <w:sz w:val="24"/>
                <w:szCs w:val="24"/>
                <w:lang w:eastAsia="it-IT"/>
              </w:rPr>
              <w:t>feb</w:t>
            </w:r>
            <w:proofErr w:type="spellEnd"/>
          </w:p>
        </w:tc>
        <w:tc>
          <w:tcPr>
            <w:tcW w:w="590" w:type="dxa"/>
            <w:tcBorders>
              <w:top w:val="nil"/>
              <w:left w:val="nil"/>
              <w:bottom w:val="nil"/>
              <w:right w:val="nil"/>
            </w:tcBorders>
            <w:shd w:val="clear" w:color="auto" w:fill="auto"/>
            <w:noWrap/>
            <w:vAlign w:val="center"/>
            <w:hideMark/>
          </w:tcPr>
          <w:p w14:paraId="4B8DA0B0"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80</w:t>
            </w:r>
          </w:p>
        </w:tc>
        <w:tc>
          <w:tcPr>
            <w:tcW w:w="820" w:type="dxa"/>
            <w:tcBorders>
              <w:top w:val="nil"/>
              <w:left w:val="nil"/>
              <w:bottom w:val="nil"/>
              <w:right w:val="nil"/>
            </w:tcBorders>
            <w:shd w:val="clear" w:color="auto" w:fill="auto"/>
            <w:noWrap/>
            <w:vAlign w:val="center"/>
            <w:hideMark/>
          </w:tcPr>
          <w:p w14:paraId="135A62B2"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19,64</w:t>
            </w:r>
          </w:p>
        </w:tc>
        <w:tc>
          <w:tcPr>
            <w:tcW w:w="1020" w:type="dxa"/>
            <w:tcBorders>
              <w:top w:val="nil"/>
              <w:left w:val="nil"/>
              <w:bottom w:val="nil"/>
              <w:right w:val="nil"/>
            </w:tcBorders>
            <w:shd w:val="clear" w:color="auto" w:fill="auto"/>
            <w:noWrap/>
            <w:vAlign w:val="center"/>
            <w:hideMark/>
          </w:tcPr>
          <w:p w14:paraId="0D890994"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1,34</w:t>
            </w:r>
          </w:p>
        </w:tc>
        <w:tc>
          <w:tcPr>
            <w:tcW w:w="820" w:type="dxa"/>
            <w:tcBorders>
              <w:top w:val="nil"/>
              <w:left w:val="nil"/>
              <w:bottom w:val="nil"/>
              <w:right w:val="nil"/>
            </w:tcBorders>
            <w:shd w:val="clear" w:color="auto" w:fill="auto"/>
            <w:noWrap/>
            <w:vAlign w:val="center"/>
            <w:hideMark/>
          </w:tcPr>
          <w:p w14:paraId="5D412E1B"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20,98</w:t>
            </w:r>
          </w:p>
        </w:tc>
        <w:tc>
          <w:tcPr>
            <w:tcW w:w="2400" w:type="dxa"/>
            <w:tcBorders>
              <w:top w:val="nil"/>
              <w:left w:val="nil"/>
              <w:bottom w:val="nil"/>
              <w:right w:val="single" w:sz="4" w:space="0" w:color="000000"/>
            </w:tcBorders>
            <w:shd w:val="clear" w:color="auto" w:fill="auto"/>
            <w:noWrap/>
            <w:vAlign w:val="center"/>
            <w:hideMark/>
          </w:tcPr>
          <w:p w14:paraId="2892BC9E"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1.678,40</w:t>
            </w:r>
          </w:p>
        </w:tc>
      </w:tr>
      <w:tr w:rsidR="009B77A6" w:rsidRPr="009B77A6" w14:paraId="18836299" w14:textId="77777777" w:rsidTr="009B77A6">
        <w:trPr>
          <w:trHeight w:val="960"/>
        </w:trPr>
        <w:tc>
          <w:tcPr>
            <w:tcW w:w="1910" w:type="dxa"/>
            <w:tcBorders>
              <w:top w:val="nil"/>
              <w:left w:val="single" w:sz="4" w:space="0" w:color="000000"/>
              <w:bottom w:val="nil"/>
              <w:right w:val="nil"/>
            </w:tcBorders>
            <w:shd w:val="clear" w:color="auto" w:fill="auto"/>
            <w:noWrap/>
            <w:vAlign w:val="bottom"/>
            <w:hideMark/>
          </w:tcPr>
          <w:p w14:paraId="55BA501A"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 </w:t>
            </w:r>
          </w:p>
        </w:tc>
        <w:tc>
          <w:tcPr>
            <w:tcW w:w="590" w:type="dxa"/>
            <w:tcBorders>
              <w:top w:val="nil"/>
              <w:left w:val="nil"/>
              <w:bottom w:val="nil"/>
              <w:right w:val="nil"/>
            </w:tcBorders>
            <w:shd w:val="clear" w:color="auto" w:fill="auto"/>
            <w:noWrap/>
            <w:vAlign w:val="bottom"/>
            <w:hideMark/>
          </w:tcPr>
          <w:p w14:paraId="679FCF0F"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p>
        </w:tc>
        <w:tc>
          <w:tcPr>
            <w:tcW w:w="820" w:type="dxa"/>
            <w:tcBorders>
              <w:top w:val="nil"/>
              <w:left w:val="nil"/>
              <w:bottom w:val="nil"/>
              <w:right w:val="nil"/>
            </w:tcBorders>
            <w:shd w:val="clear" w:color="auto" w:fill="auto"/>
            <w:noWrap/>
            <w:vAlign w:val="bottom"/>
            <w:hideMark/>
          </w:tcPr>
          <w:p w14:paraId="78D75594" w14:textId="77777777" w:rsidR="009B77A6" w:rsidRPr="009B77A6" w:rsidRDefault="009B77A6" w:rsidP="009B77A6">
            <w:pPr>
              <w:spacing w:after="0" w:line="240" w:lineRule="auto"/>
              <w:rPr>
                <w:rFonts w:ascii="Times New Roman" w:eastAsia="Times New Roman" w:hAnsi="Times New Roman" w:cs="Times New Roman"/>
                <w:color w:val="002060"/>
                <w:sz w:val="20"/>
                <w:szCs w:val="20"/>
                <w:lang w:eastAsia="it-IT"/>
              </w:rPr>
            </w:pPr>
          </w:p>
        </w:tc>
        <w:tc>
          <w:tcPr>
            <w:tcW w:w="1020" w:type="dxa"/>
            <w:tcBorders>
              <w:top w:val="nil"/>
              <w:left w:val="nil"/>
              <w:bottom w:val="nil"/>
              <w:right w:val="nil"/>
            </w:tcBorders>
            <w:shd w:val="clear" w:color="auto" w:fill="auto"/>
            <w:noWrap/>
            <w:vAlign w:val="bottom"/>
            <w:hideMark/>
          </w:tcPr>
          <w:p w14:paraId="77FAF484" w14:textId="77777777" w:rsidR="009B77A6" w:rsidRPr="009B77A6" w:rsidRDefault="009B77A6" w:rsidP="009B77A6">
            <w:pPr>
              <w:spacing w:after="0" w:line="240" w:lineRule="auto"/>
              <w:rPr>
                <w:rFonts w:ascii="Times New Roman" w:eastAsia="Times New Roman" w:hAnsi="Times New Roman" w:cs="Times New Roman"/>
                <w:color w:val="002060"/>
                <w:sz w:val="20"/>
                <w:szCs w:val="20"/>
                <w:lang w:eastAsia="it-IT"/>
              </w:rPr>
            </w:pPr>
          </w:p>
        </w:tc>
        <w:tc>
          <w:tcPr>
            <w:tcW w:w="820" w:type="dxa"/>
            <w:tcBorders>
              <w:top w:val="nil"/>
              <w:left w:val="nil"/>
              <w:bottom w:val="nil"/>
              <w:right w:val="nil"/>
            </w:tcBorders>
            <w:shd w:val="clear" w:color="auto" w:fill="auto"/>
            <w:noWrap/>
            <w:vAlign w:val="bottom"/>
            <w:hideMark/>
          </w:tcPr>
          <w:p w14:paraId="71835F91" w14:textId="77777777" w:rsidR="009B77A6" w:rsidRPr="009B77A6" w:rsidRDefault="009B77A6" w:rsidP="009B77A6">
            <w:pPr>
              <w:spacing w:after="0" w:line="240" w:lineRule="auto"/>
              <w:rPr>
                <w:rFonts w:ascii="Times New Roman" w:eastAsia="Times New Roman" w:hAnsi="Times New Roman" w:cs="Times New Roman"/>
                <w:color w:val="002060"/>
                <w:sz w:val="20"/>
                <w:szCs w:val="20"/>
                <w:lang w:eastAsia="it-IT"/>
              </w:rPr>
            </w:pPr>
          </w:p>
        </w:tc>
        <w:tc>
          <w:tcPr>
            <w:tcW w:w="2400" w:type="dxa"/>
            <w:tcBorders>
              <w:top w:val="nil"/>
              <w:left w:val="nil"/>
              <w:bottom w:val="nil"/>
              <w:right w:val="single" w:sz="4" w:space="0" w:color="000000"/>
            </w:tcBorders>
            <w:shd w:val="clear" w:color="auto" w:fill="auto"/>
            <w:noWrap/>
            <w:vAlign w:val="center"/>
            <w:hideMark/>
          </w:tcPr>
          <w:p w14:paraId="57F62201" w14:textId="77777777" w:rsidR="009B77A6" w:rsidRPr="009B77A6" w:rsidRDefault="009B77A6" w:rsidP="009B77A6">
            <w:pPr>
              <w:spacing w:after="0" w:line="240" w:lineRule="auto"/>
              <w:jc w:val="right"/>
              <w:rPr>
                <w:rFonts w:ascii="Aptos" w:eastAsia="Times New Roman" w:hAnsi="Aptos" w:cs="Times New Roman"/>
                <w:b/>
                <w:bCs/>
                <w:color w:val="002060"/>
                <w:sz w:val="24"/>
                <w:szCs w:val="24"/>
                <w:lang w:eastAsia="it-IT"/>
              </w:rPr>
            </w:pPr>
            <w:r w:rsidRPr="009B77A6">
              <w:rPr>
                <w:rFonts w:ascii="Aptos" w:eastAsia="Times New Roman" w:hAnsi="Aptos" w:cs="Times New Roman"/>
                <w:b/>
                <w:bCs/>
                <w:color w:val="002060"/>
                <w:sz w:val="24"/>
                <w:szCs w:val="24"/>
                <w:lang w:eastAsia="it-IT"/>
              </w:rPr>
              <w:t>5.370,88</w:t>
            </w:r>
          </w:p>
        </w:tc>
      </w:tr>
      <w:tr w:rsidR="009B77A6" w:rsidRPr="009B77A6" w14:paraId="2A684710" w14:textId="77777777" w:rsidTr="009B77A6">
        <w:trPr>
          <w:trHeight w:val="645"/>
        </w:trPr>
        <w:tc>
          <w:tcPr>
            <w:tcW w:w="1910" w:type="dxa"/>
            <w:tcBorders>
              <w:top w:val="nil"/>
              <w:left w:val="single" w:sz="4" w:space="0" w:color="000000"/>
              <w:bottom w:val="nil"/>
              <w:right w:val="nil"/>
            </w:tcBorders>
            <w:shd w:val="clear" w:color="auto" w:fill="auto"/>
            <w:noWrap/>
            <w:vAlign w:val="center"/>
            <w:hideMark/>
          </w:tcPr>
          <w:p w14:paraId="036A4015"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 xml:space="preserve">da 7 a 30 </w:t>
            </w:r>
            <w:proofErr w:type="spellStart"/>
            <w:r w:rsidRPr="009B77A6">
              <w:rPr>
                <w:rFonts w:ascii="Aptos" w:eastAsia="Times New Roman" w:hAnsi="Aptos" w:cs="Times New Roman"/>
                <w:color w:val="002060"/>
                <w:sz w:val="24"/>
                <w:szCs w:val="24"/>
                <w:lang w:eastAsia="it-IT"/>
              </w:rPr>
              <w:t>apr</w:t>
            </w:r>
            <w:proofErr w:type="spellEnd"/>
          </w:p>
        </w:tc>
        <w:tc>
          <w:tcPr>
            <w:tcW w:w="590" w:type="dxa"/>
            <w:tcBorders>
              <w:top w:val="nil"/>
              <w:left w:val="nil"/>
              <w:bottom w:val="nil"/>
              <w:right w:val="nil"/>
            </w:tcBorders>
            <w:shd w:val="clear" w:color="auto" w:fill="auto"/>
            <w:noWrap/>
            <w:vAlign w:val="center"/>
            <w:hideMark/>
          </w:tcPr>
          <w:p w14:paraId="1E291775"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129</w:t>
            </w:r>
          </w:p>
        </w:tc>
        <w:tc>
          <w:tcPr>
            <w:tcW w:w="820" w:type="dxa"/>
            <w:tcBorders>
              <w:top w:val="nil"/>
              <w:left w:val="nil"/>
              <w:bottom w:val="nil"/>
              <w:right w:val="nil"/>
            </w:tcBorders>
            <w:shd w:val="clear" w:color="auto" w:fill="auto"/>
            <w:noWrap/>
            <w:vAlign w:val="center"/>
            <w:hideMark/>
          </w:tcPr>
          <w:p w14:paraId="2975B554"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19,64</w:t>
            </w:r>
          </w:p>
        </w:tc>
        <w:tc>
          <w:tcPr>
            <w:tcW w:w="1020" w:type="dxa"/>
            <w:tcBorders>
              <w:top w:val="nil"/>
              <w:left w:val="nil"/>
              <w:bottom w:val="nil"/>
              <w:right w:val="nil"/>
            </w:tcBorders>
            <w:shd w:val="clear" w:color="auto" w:fill="auto"/>
            <w:noWrap/>
            <w:vAlign w:val="center"/>
            <w:hideMark/>
          </w:tcPr>
          <w:p w14:paraId="23BA187B"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1,34</w:t>
            </w:r>
          </w:p>
        </w:tc>
        <w:tc>
          <w:tcPr>
            <w:tcW w:w="820" w:type="dxa"/>
            <w:tcBorders>
              <w:top w:val="nil"/>
              <w:left w:val="nil"/>
              <w:bottom w:val="nil"/>
              <w:right w:val="nil"/>
            </w:tcBorders>
            <w:shd w:val="clear" w:color="auto" w:fill="auto"/>
            <w:noWrap/>
            <w:vAlign w:val="center"/>
            <w:hideMark/>
          </w:tcPr>
          <w:p w14:paraId="3549ECAB"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20,98</w:t>
            </w:r>
          </w:p>
        </w:tc>
        <w:tc>
          <w:tcPr>
            <w:tcW w:w="2400" w:type="dxa"/>
            <w:tcBorders>
              <w:top w:val="nil"/>
              <w:left w:val="nil"/>
              <w:bottom w:val="nil"/>
              <w:right w:val="single" w:sz="4" w:space="0" w:color="000000"/>
            </w:tcBorders>
            <w:shd w:val="clear" w:color="auto" w:fill="auto"/>
            <w:noWrap/>
            <w:vAlign w:val="center"/>
            <w:hideMark/>
          </w:tcPr>
          <w:p w14:paraId="7009289F"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2.706,42</w:t>
            </w:r>
          </w:p>
        </w:tc>
      </w:tr>
      <w:tr w:rsidR="009B77A6" w:rsidRPr="009B77A6" w14:paraId="441FE51A" w14:textId="77777777" w:rsidTr="009B77A6">
        <w:trPr>
          <w:trHeight w:val="315"/>
        </w:trPr>
        <w:tc>
          <w:tcPr>
            <w:tcW w:w="1910" w:type="dxa"/>
            <w:tcBorders>
              <w:top w:val="nil"/>
              <w:left w:val="single" w:sz="4" w:space="0" w:color="000000"/>
              <w:bottom w:val="nil"/>
              <w:right w:val="nil"/>
            </w:tcBorders>
            <w:shd w:val="clear" w:color="auto" w:fill="auto"/>
            <w:noWrap/>
            <w:vAlign w:val="center"/>
            <w:hideMark/>
          </w:tcPr>
          <w:p w14:paraId="7D7AE87B"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proofErr w:type="spellStart"/>
            <w:r w:rsidRPr="009B77A6">
              <w:rPr>
                <w:rFonts w:ascii="Aptos" w:eastAsia="Times New Roman" w:hAnsi="Aptos" w:cs="Times New Roman"/>
                <w:color w:val="002060"/>
                <w:sz w:val="24"/>
                <w:szCs w:val="24"/>
                <w:lang w:eastAsia="it-IT"/>
              </w:rPr>
              <w:t>magg</w:t>
            </w:r>
            <w:proofErr w:type="spellEnd"/>
          </w:p>
        </w:tc>
        <w:tc>
          <w:tcPr>
            <w:tcW w:w="590" w:type="dxa"/>
            <w:tcBorders>
              <w:top w:val="nil"/>
              <w:left w:val="nil"/>
              <w:bottom w:val="nil"/>
              <w:right w:val="nil"/>
            </w:tcBorders>
            <w:shd w:val="clear" w:color="auto" w:fill="auto"/>
            <w:noWrap/>
            <w:vAlign w:val="center"/>
            <w:hideMark/>
          </w:tcPr>
          <w:p w14:paraId="6F35B54F"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159</w:t>
            </w:r>
          </w:p>
        </w:tc>
        <w:tc>
          <w:tcPr>
            <w:tcW w:w="820" w:type="dxa"/>
            <w:tcBorders>
              <w:top w:val="nil"/>
              <w:left w:val="nil"/>
              <w:bottom w:val="nil"/>
              <w:right w:val="nil"/>
            </w:tcBorders>
            <w:shd w:val="clear" w:color="auto" w:fill="auto"/>
            <w:noWrap/>
            <w:vAlign w:val="center"/>
            <w:hideMark/>
          </w:tcPr>
          <w:p w14:paraId="7A799700"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19,64</w:t>
            </w:r>
          </w:p>
        </w:tc>
        <w:tc>
          <w:tcPr>
            <w:tcW w:w="1020" w:type="dxa"/>
            <w:tcBorders>
              <w:top w:val="nil"/>
              <w:left w:val="nil"/>
              <w:bottom w:val="nil"/>
              <w:right w:val="nil"/>
            </w:tcBorders>
            <w:shd w:val="clear" w:color="auto" w:fill="auto"/>
            <w:noWrap/>
            <w:vAlign w:val="center"/>
            <w:hideMark/>
          </w:tcPr>
          <w:p w14:paraId="25A2CC38"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1,34</w:t>
            </w:r>
          </w:p>
        </w:tc>
        <w:tc>
          <w:tcPr>
            <w:tcW w:w="820" w:type="dxa"/>
            <w:tcBorders>
              <w:top w:val="nil"/>
              <w:left w:val="nil"/>
              <w:bottom w:val="nil"/>
              <w:right w:val="nil"/>
            </w:tcBorders>
            <w:shd w:val="clear" w:color="auto" w:fill="auto"/>
            <w:noWrap/>
            <w:vAlign w:val="center"/>
            <w:hideMark/>
          </w:tcPr>
          <w:p w14:paraId="71814580"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20,98</w:t>
            </w:r>
          </w:p>
        </w:tc>
        <w:tc>
          <w:tcPr>
            <w:tcW w:w="2400" w:type="dxa"/>
            <w:tcBorders>
              <w:top w:val="nil"/>
              <w:left w:val="nil"/>
              <w:bottom w:val="nil"/>
              <w:right w:val="single" w:sz="4" w:space="0" w:color="000000"/>
            </w:tcBorders>
            <w:shd w:val="clear" w:color="auto" w:fill="auto"/>
            <w:noWrap/>
            <w:vAlign w:val="center"/>
            <w:hideMark/>
          </w:tcPr>
          <w:p w14:paraId="07543272"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3.335,82</w:t>
            </w:r>
          </w:p>
        </w:tc>
      </w:tr>
      <w:tr w:rsidR="009B77A6" w:rsidRPr="009B77A6" w14:paraId="4F3F2C42" w14:textId="77777777" w:rsidTr="009B77A6">
        <w:trPr>
          <w:trHeight w:val="315"/>
        </w:trPr>
        <w:tc>
          <w:tcPr>
            <w:tcW w:w="1910" w:type="dxa"/>
            <w:tcBorders>
              <w:top w:val="nil"/>
              <w:left w:val="single" w:sz="4" w:space="0" w:color="000000"/>
              <w:bottom w:val="nil"/>
              <w:right w:val="nil"/>
            </w:tcBorders>
            <w:shd w:val="clear" w:color="auto" w:fill="auto"/>
            <w:noWrap/>
            <w:vAlign w:val="center"/>
            <w:hideMark/>
          </w:tcPr>
          <w:p w14:paraId="16A4FE4C"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proofErr w:type="spellStart"/>
            <w:r w:rsidRPr="009B77A6">
              <w:rPr>
                <w:rFonts w:ascii="Aptos" w:eastAsia="Times New Roman" w:hAnsi="Aptos" w:cs="Times New Roman"/>
                <w:color w:val="002060"/>
                <w:sz w:val="24"/>
                <w:szCs w:val="24"/>
                <w:lang w:eastAsia="it-IT"/>
              </w:rPr>
              <w:t>giu</w:t>
            </w:r>
            <w:proofErr w:type="spellEnd"/>
          </w:p>
        </w:tc>
        <w:tc>
          <w:tcPr>
            <w:tcW w:w="590" w:type="dxa"/>
            <w:tcBorders>
              <w:top w:val="nil"/>
              <w:left w:val="nil"/>
              <w:bottom w:val="nil"/>
              <w:right w:val="nil"/>
            </w:tcBorders>
            <w:shd w:val="clear" w:color="auto" w:fill="auto"/>
            <w:noWrap/>
            <w:vAlign w:val="center"/>
            <w:hideMark/>
          </w:tcPr>
          <w:p w14:paraId="52BC7A02"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150</w:t>
            </w:r>
          </w:p>
        </w:tc>
        <w:tc>
          <w:tcPr>
            <w:tcW w:w="820" w:type="dxa"/>
            <w:tcBorders>
              <w:top w:val="nil"/>
              <w:left w:val="nil"/>
              <w:bottom w:val="nil"/>
              <w:right w:val="nil"/>
            </w:tcBorders>
            <w:shd w:val="clear" w:color="auto" w:fill="auto"/>
            <w:noWrap/>
            <w:vAlign w:val="center"/>
            <w:hideMark/>
          </w:tcPr>
          <w:p w14:paraId="23A174BF"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19,64</w:t>
            </w:r>
          </w:p>
        </w:tc>
        <w:tc>
          <w:tcPr>
            <w:tcW w:w="1020" w:type="dxa"/>
            <w:tcBorders>
              <w:top w:val="nil"/>
              <w:left w:val="nil"/>
              <w:bottom w:val="nil"/>
              <w:right w:val="nil"/>
            </w:tcBorders>
            <w:shd w:val="clear" w:color="auto" w:fill="auto"/>
            <w:noWrap/>
            <w:vAlign w:val="center"/>
            <w:hideMark/>
          </w:tcPr>
          <w:p w14:paraId="04088AF2"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1,34</w:t>
            </w:r>
          </w:p>
        </w:tc>
        <w:tc>
          <w:tcPr>
            <w:tcW w:w="820" w:type="dxa"/>
            <w:tcBorders>
              <w:top w:val="nil"/>
              <w:left w:val="nil"/>
              <w:bottom w:val="nil"/>
              <w:right w:val="nil"/>
            </w:tcBorders>
            <w:shd w:val="clear" w:color="auto" w:fill="auto"/>
            <w:noWrap/>
            <w:vAlign w:val="center"/>
            <w:hideMark/>
          </w:tcPr>
          <w:p w14:paraId="56C72B4C"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20,98</w:t>
            </w:r>
          </w:p>
        </w:tc>
        <w:tc>
          <w:tcPr>
            <w:tcW w:w="2400" w:type="dxa"/>
            <w:tcBorders>
              <w:top w:val="nil"/>
              <w:left w:val="nil"/>
              <w:bottom w:val="nil"/>
              <w:right w:val="single" w:sz="4" w:space="0" w:color="000000"/>
            </w:tcBorders>
            <w:shd w:val="clear" w:color="auto" w:fill="auto"/>
            <w:noWrap/>
            <w:vAlign w:val="center"/>
            <w:hideMark/>
          </w:tcPr>
          <w:p w14:paraId="31D4E418"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3.147,00</w:t>
            </w:r>
          </w:p>
        </w:tc>
      </w:tr>
      <w:tr w:rsidR="009B77A6" w:rsidRPr="009B77A6" w14:paraId="6359FC8F" w14:textId="77777777" w:rsidTr="009B77A6">
        <w:trPr>
          <w:trHeight w:val="315"/>
        </w:trPr>
        <w:tc>
          <w:tcPr>
            <w:tcW w:w="1910" w:type="dxa"/>
            <w:tcBorders>
              <w:top w:val="nil"/>
              <w:left w:val="single" w:sz="4" w:space="0" w:color="000000"/>
              <w:bottom w:val="nil"/>
              <w:right w:val="nil"/>
            </w:tcBorders>
            <w:shd w:val="clear" w:color="auto" w:fill="auto"/>
            <w:noWrap/>
            <w:vAlign w:val="center"/>
            <w:hideMark/>
          </w:tcPr>
          <w:p w14:paraId="4591BB04"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proofErr w:type="spellStart"/>
            <w:r w:rsidRPr="009B77A6">
              <w:rPr>
                <w:rFonts w:ascii="Aptos" w:eastAsia="Times New Roman" w:hAnsi="Aptos" w:cs="Times New Roman"/>
                <w:color w:val="002060"/>
                <w:sz w:val="24"/>
                <w:szCs w:val="24"/>
                <w:lang w:eastAsia="it-IT"/>
              </w:rPr>
              <w:t>lug</w:t>
            </w:r>
            <w:proofErr w:type="spellEnd"/>
          </w:p>
        </w:tc>
        <w:tc>
          <w:tcPr>
            <w:tcW w:w="590" w:type="dxa"/>
            <w:tcBorders>
              <w:top w:val="nil"/>
              <w:left w:val="nil"/>
              <w:bottom w:val="nil"/>
              <w:right w:val="nil"/>
            </w:tcBorders>
            <w:shd w:val="clear" w:color="auto" w:fill="auto"/>
            <w:noWrap/>
            <w:vAlign w:val="center"/>
            <w:hideMark/>
          </w:tcPr>
          <w:p w14:paraId="02C05688"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174</w:t>
            </w:r>
          </w:p>
        </w:tc>
        <w:tc>
          <w:tcPr>
            <w:tcW w:w="820" w:type="dxa"/>
            <w:tcBorders>
              <w:top w:val="nil"/>
              <w:left w:val="nil"/>
              <w:bottom w:val="nil"/>
              <w:right w:val="nil"/>
            </w:tcBorders>
            <w:shd w:val="clear" w:color="auto" w:fill="auto"/>
            <w:noWrap/>
            <w:vAlign w:val="center"/>
            <w:hideMark/>
          </w:tcPr>
          <w:p w14:paraId="27C45D39"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19,64</w:t>
            </w:r>
          </w:p>
        </w:tc>
        <w:tc>
          <w:tcPr>
            <w:tcW w:w="1020" w:type="dxa"/>
            <w:tcBorders>
              <w:top w:val="nil"/>
              <w:left w:val="nil"/>
              <w:bottom w:val="nil"/>
              <w:right w:val="nil"/>
            </w:tcBorders>
            <w:shd w:val="clear" w:color="auto" w:fill="auto"/>
            <w:noWrap/>
            <w:vAlign w:val="center"/>
            <w:hideMark/>
          </w:tcPr>
          <w:p w14:paraId="333927EE"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1,34</w:t>
            </w:r>
          </w:p>
        </w:tc>
        <w:tc>
          <w:tcPr>
            <w:tcW w:w="820" w:type="dxa"/>
            <w:tcBorders>
              <w:top w:val="nil"/>
              <w:left w:val="nil"/>
              <w:bottom w:val="nil"/>
              <w:right w:val="nil"/>
            </w:tcBorders>
            <w:shd w:val="clear" w:color="auto" w:fill="auto"/>
            <w:noWrap/>
            <w:vAlign w:val="center"/>
            <w:hideMark/>
          </w:tcPr>
          <w:p w14:paraId="32BDA63C"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20,98</w:t>
            </w:r>
          </w:p>
        </w:tc>
        <w:tc>
          <w:tcPr>
            <w:tcW w:w="2400" w:type="dxa"/>
            <w:tcBorders>
              <w:top w:val="nil"/>
              <w:left w:val="nil"/>
              <w:bottom w:val="nil"/>
              <w:right w:val="single" w:sz="4" w:space="0" w:color="000000"/>
            </w:tcBorders>
            <w:shd w:val="clear" w:color="auto" w:fill="auto"/>
            <w:noWrap/>
            <w:vAlign w:val="center"/>
            <w:hideMark/>
          </w:tcPr>
          <w:p w14:paraId="309F1E4B"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3.650,52</w:t>
            </w:r>
          </w:p>
        </w:tc>
      </w:tr>
      <w:tr w:rsidR="009B77A6" w:rsidRPr="009B77A6" w14:paraId="48FE0B40" w14:textId="77777777" w:rsidTr="009B77A6">
        <w:trPr>
          <w:trHeight w:val="315"/>
        </w:trPr>
        <w:tc>
          <w:tcPr>
            <w:tcW w:w="1910" w:type="dxa"/>
            <w:tcBorders>
              <w:top w:val="nil"/>
              <w:left w:val="single" w:sz="4" w:space="0" w:color="000000"/>
              <w:bottom w:val="nil"/>
              <w:right w:val="nil"/>
            </w:tcBorders>
            <w:shd w:val="clear" w:color="auto" w:fill="auto"/>
            <w:noWrap/>
            <w:vAlign w:val="center"/>
            <w:hideMark/>
          </w:tcPr>
          <w:p w14:paraId="0E3AE793"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ago</w:t>
            </w:r>
          </w:p>
        </w:tc>
        <w:tc>
          <w:tcPr>
            <w:tcW w:w="590" w:type="dxa"/>
            <w:tcBorders>
              <w:top w:val="nil"/>
              <w:left w:val="nil"/>
              <w:bottom w:val="nil"/>
              <w:right w:val="nil"/>
            </w:tcBorders>
            <w:shd w:val="clear" w:color="auto" w:fill="auto"/>
            <w:noWrap/>
            <w:vAlign w:val="center"/>
            <w:hideMark/>
          </w:tcPr>
          <w:p w14:paraId="04D29BEB"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150</w:t>
            </w:r>
          </w:p>
        </w:tc>
        <w:tc>
          <w:tcPr>
            <w:tcW w:w="820" w:type="dxa"/>
            <w:tcBorders>
              <w:top w:val="nil"/>
              <w:left w:val="nil"/>
              <w:bottom w:val="nil"/>
              <w:right w:val="nil"/>
            </w:tcBorders>
            <w:shd w:val="clear" w:color="auto" w:fill="auto"/>
            <w:noWrap/>
            <w:vAlign w:val="center"/>
            <w:hideMark/>
          </w:tcPr>
          <w:p w14:paraId="1EB42B9D"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19,64</w:t>
            </w:r>
          </w:p>
        </w:tc>
        <w:tc>
          <w:tcPr>
            <w:tcW w:w="1020" w:type="dxa"/>
            <w:tcBorders>
              <w:top w:val="nil"/>
              <w:left w:val="nil"/>
              <w:bottom w:val="nil"/>
              <w:right w:val="nil"/>
            </w:tcBorders>
            <w:shd w:val="clear" w:color="auto" w:fill="auto"/>
            <w:noWrap/>
            <w:vAlign w:val="center"/>
            <w:hideMark/>
          </w:tcPr>
          <w:p w14:paraId="00F9E414"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1,34</w:t>
            </w:r>
          </w:p>
        </w:tc>
        <w:tc>
          <w:tcPr>
            <w:tcW w:w="820" w:type="dxa"/>
            <w:tcBorders>
              <w:top w:val="nil"/>
              <w:left w:val="nil"/>
              <w:bottom w:val="nil"/>
              <w:right w:val="nil"/>
            </w:tcBorders>
            <w:shd w:val="clear" w:color="auto" w:fill="auto"/>
            <w:noWrap/>
            <w:vAlign w:val="center"/>
            <w:hideMark/>
          </w:tcPr>
          <w:p w14:paraId="0DAF9608"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20,98</w:t>
            </w:r>
          </w:p>
        </w:tc>
        <w:tc>
          <w:tcPr>
            <w:tcW w:w="2400" w:type="dxa"/>
            <w:tcBorders>
              <w:top w:val="nil"/>
              <w:left w:val="nil"/>
              <w:bottom w:val="nil"/>
              <w:right w:val="single" w:sz="4" w:space="0" w:color="000000"/>
            </w:tcBorders>
            <w:shd w:val="clear" w:color="auto" w:fill="auto"/>
            <w:noWrap/>
            <w:vAlign w:val="center"/>
            <w:hideMark/>
          </w:tcPr>
          <w:p w14:paraId="241B5E51"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3.147,00</w:t>
            </w:r>
          </w:p>
        </w:tc>
      </w:tr>
      <w:tr w:rsidR="009B77A6" w:rsidRPr="009B77A6" w14:paraId="6C57EEAC" w14:textId="77777777" w:rsidTr="009B77A6">
        <w:trPr>
          <w:trHeight w:val="315"/>
        </w:trPr>
        <w:tc>
          <w:tcPr>
            <w:tcW w:w="1910" w:type="dxa"/>
            <w:tcBorders>
              <w:top w:val="nil"/>
              <w:left w:val="single" w:sz="4" w:space="0" w:color="000000"/>
              <w:bottom w:val="nil"/>
              <w:right w:val="nil"/>
            </w:tcBorders>
            <w:shd w:val="clear" w:color="auto" w:fill="auto"/>
            <w:noWrap/>
            <w:vAlign w:val="center"/>
            <w:hideMark/>
          </w:tcPr>
          <w:p w14:paraId="550272D3"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set</w:t>
            </w:r>
          </w:p>
        </w:tc>
        <w:tc>
          <w:tcPr>
            <w:tcW w:w="590" w:type="dxa"/>
            <w:tcBorders>
              <w:top w:val="nil"/>
              <w:left w:val="nil"/>
              <w:bottom w:val="nil"/>
              <w:right w:val="nil"/>
            </w:tcBorders>
            <w:shd w:val="clear" w:color="auto" w:fill="auto"/>
            <w:noWrap/>
            <w:vAlign w:val="center"/>
            <w:hideMark/>
          </w:tcPr>
          <w:p w14:paraId="59FBDF45"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159</w:t>
            </w:r>
          </w:p>
        </w:tc>
        <w:tc>
          <w:tcPr>
            <w:tcW w:w="820" w:type="dxa"/>
            <w:tcBorders>
              <w:top w:val="nil"/>
              <w:left w:val="nil"/>
              <w:bottom w:val="nil"/>
              <w:right w:val="nil"/>
            </w:tcBorders>
            <w:shd w:val="clear" w:color="auto" w:fill="auto"/>
            <w:noWrap/>
            <w:vAlign w:val="center"/>
            <w:hideMark/>
          </w:tcPr>
          <w:p w14:paraId="2EB13302"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19,64</w:t>
            </w:r>
          </w:p>
        </w:tc>
        <w:tc>
          <w:tcPr>
            <w:tcW w:w="1020" w:type="dxa"/>
            <w:tcBorders>
              <w:top w:val="nil"/>
              <w:left w:val="nil"/>
              <w:bottom w:val="nil"/>
              <w:right w:val="nil"/>
            </w:tcBorders>
            <w:shd w:val="clear" w:color="auto" w:fill="auto"/>
            <w:noWrap/>
            <w:vAlign w:val="center"/>
            <w:hideMark/>
          </w:tcPr>
          <w:p w14:paraId="5EFE9E81"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1,34</w:t>
            </w:r>
          </w:p>
        </w:tc>
        <w:tc>
          <w:tcPr>
            <w:tcW w:w="820" w:type="dxa"/>
            <w:tcBorders>
              <w:top w:val="nil"/>
              <w:left w:val="nil"/>
              <w:bottom w:val="nil"/>
              <w:right w:val="nil"/>
            </w:tcBorders>
            <w:shd w:val="clear" w:color="auto" w:fill="auto"/>
            <w:noWrap/>
            <w:vAlign w:val="center"/>
            <w:hideMark/>
          </w:tcPr>
          <w:p w14:paraId="69139F57"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20,98</w:t>
            </w:r>
          </w:p>
        </w:tc>
        <w:tc>
          <w:tcPr>
            <w:tcW w:w="2400" w:type="dxa"/>
            <w:tcBorders>
              <w:top w:val="nil"/>
              <w:left w:val="nil"/>
              <w:bottom w:val="nil"/>
              <w:right w:val="single" w:sz="4" w:space="0" w:color="000000"/>
            </w:tcBorders>
            <w:shd w:val="clear" w:color="auto" w:fill="auto"/>
            <w:noWrap/>
            <w:vAlign w:val="center"/>
            <w:hideMark/>
          </w:tcPr>
          <w:p w14:paraId="30D4BCB3"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3.335,82</w:t>
            </w:r>
          </w:p>
        </w:tc>
      </w:tr>
      <w:tr w:rsidR="009B77A6" w:rsidRPr="009B77A6" w14:paraId="7EB32BC6" w14:textId="77777777" w:rsidTr="009B77A6">
        <w:trPr>
          <w:trHeight w:val="315"/>
        </w:trPr>
        <w:tc>
          <w:tcPr>
            <w:tcW w:w="1910" w:type="dxa"/>
            <w:tcBorders>
              <w:top w:val="nil"/>
              <w:left w:val="single" w:sz="4" w:space="0" w:color="000000"/>
              <w:bottom w:val="nil"/>
              <w:right w:val="nil"/>
            </w:tcBorders>
            <w:shd w:val="clear" w:color="auto" w:fill="auto"/>
            <w:noWrap/>
            <w:vAlign w:val="center"/>
            <w:hideMark/>
          </w:tcPr>
          <w:p w14:paraId="046C3FEA"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proofErr w:type="spellStart"/>
            <w:r w:rsidRPr="009B77A6">
              <w:rPr>
                <w:rFonts w:ascii="Aptos" w:eastAsia="Times New Roman" w:hAnsi="Aptos" w:cs="Times New Roman"/>
                <w:color w:val="002060"/>
                <w:sz w:val="24"/>
                <w:szCs w:val="24"/>
                <w:lang w:eastAsia="it-IT"/>
              </w:rPr>
              <w:t>ott</w:t>
            </w:r>
            <w:proofErr w:type="spellEnd"/>
          </w:p>
        </w:tc>
        <w:tc>
          <w:tcPr>
            <w:tcW w:w="590" w:type="dxa"/>
            <w:tcBorders>
              <w:top w:val="nil"/>
              <w:left w:val="nil"/>
              <w:bottom w:val="nil"/>
              <w:right w:val="nil"/>
            </w:tcBorders>
            <w:shd w:val="clear" w:color="auto" w:fill="auto"/>
            <w:noWrap/>
            <w:vAlign w:val="center"/>
            <w:hideMark/>
          </w:tcPr>
          <w:p w14:paraId="47DC9833"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165</w:t>
            </w:r>
          </w:p>
        </w:tc>
        <w:tc>
          <w:tcPr>
            <w:tcW w:w="820" w:type="dxa"/>
            <w:tcBorders>
              <w:top w:val="nil"/>
              <w:left w:val="nil"/>
              <w:bottom w:val="nil"/>
              <w:right w:val="nil"/>
            </w:tcBorders>
            <w:shd w:val="clear" w:color="auto" w:fill="auto"/>
            <w:noWrap/>
            <w:vAlign w:val="center"/>
            <w:hideMark/>
          </w:tcPr>
          <w:p w14:paraId="74C7AC19"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19,64</w:t>
            </w:r>
          </w:p>
        </w:tc>
        <w:tc>
          <w:tcPr>
            <w:tcW w:w="1020" w:type="dxa"/>
            <w:tcBorders>
              <w:top w:val="nil"/>
              <w:left w:val="nil"/>
              <w:bottom w:val="nil"/>
              <w:right w:val="nil"/>
            </w:tcBorders>
            <w:shd w:val="clear" w:color="auto" w:fill="auto"/>
            <w:noWrap/>
            <w:vAlign w:val="center"/>
            <w:hideMark/>
          </w:tcPr>
          <w:p w14:paraId="2B22378A"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1,34</w:t>
            </w:r>
          </w:p>
        </w:tc>
        <w:tc>
          <w:tcPr>
            <w:tcW w:w="820" w:type="dxa"/>
            <w:tcBorders>
              <w:top w:val="nil"/>
              <w:left w:val="nil"/>
              <w:bottom w:val="nil"/>
              <w:right w:val="nil"/>
            </w:tcBorders>
            <w:shd w:val="clear" w:color="auto" w:fill="auto"/>
            <w:noWrap/>
            <w:vAlign w:val="center"/>
            <w:hideMark/>
          </w:tcPr>
          <w:p w14:paraId="5AB977BB"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20,98</w:t>
            </w:r>
          </w:p>
        </w:tc>
        <w:tc>
          <w:tcPr>
            <w:tcW w:w="2400" w:type="dxa"/>
            <w:tcBorders>
              <w:top w:val="nil"/>
              <w:left w:val="nil"/>
              <w:bottom w:val="nil"/>
              <w:right w:val="single" w:sz="4" w:space="0" w:color="000000"/>
            </w:tcBorders>
            <w:shd w:val="clear" w:color="auto" w:fill="auto"/>
            <w:noWrap/>
            <w:vAlign w:val="center"/>
            <w:hideMark/>
          </w:tcPr>
          <w:p w14:paraId="18332F88"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3.461,70</w:t>
            </w:r>
          </w:p>
        </w:tc>
      </w:tr>
      <w:tr w:rsidR="009B77A6" w:rsidRPr="009B77A6" w14:paraId="7AECD6D5" w14:textId="77777777" w:rsidTr="009B77A6">
        <w:trPr>
          <w:trHeight w:val="315"/>
        </w:trPr>
        <w:tc>
          <w:tcPr>
            <w:tcW w:w="1910" w:type="dxa"/>
            <w:tcBorders>
              <w:top w:val="nil"/>
              <w:left w:val="single" w:sz="4" w:space="0" w:color="000000"/>
              <w:bottom w:val="nil"/>
              <w:right w:val="nil"/>
            </w:tcBorders>
            <w:shd w:val="clear" w:color="auto" w:fill="auto"/>
            <w:noWrap/>
            <w:vAlign w:val="center"/>
            <w:hideMark/>
          </w:tcPr>
          <w:p w14:paraId="3AA3540D"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proofErr w:type="spellStart"/>
            <w:r w:rsidRPr="009B77A6">
              <w:rPr>
                <w:rFonts w:ascii="Aptos" w:eastAsia="Times New Roman" w:hAnsi="Aptos" w:cs="Times New Roman"/>
                <w:color w:val="002060"/>
                <w:sz w:val="24"/>
                <w:szCs w:val="24"/>
                <w:lang w:eastAsia="it-IT"/>
              </w:rPr>
              <w:t>nov</w:t>
            </w:r>
            <w:proofErr w:type="spellEnd"/>
          </w:p>
        </w:tc>
        <w:tc>
          <w:tcPr>
            <w:tcW w:w="590" w:type="dxa"/>
            <w:tcBorders>
              <w:top w:val="nil"/>
              <w:left w:val="nil"/>
              <w:bottom w:val="nil"/>
              <w:right w:val="nil"/>
            </w:tcBorders>
            <w:shd w:val="clear" w:color="auto" w:fill="auto"/>
            <w:noWrap/>
            <w:vAlign w:val="center"/>
            <w:hideMark/>
          </w:tcPr>
          <w:p w14:paraId="26DC39C9"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144</w:t>
            </w:r>
          </w:p>
        </w:tc>
        <w:tc>
          <w:tcPr>
            <w:tcW w:w="820" w:type="dxa"/>
            <w:tcBorders>
              <w:top w:val="nil"/>
              <w:left w:val="nil"/>
              <w:bottom w:val="nil"/>
              <w:right w:val="nil"/>
            </w:tcBorders>
            <w:shd w:val="clear" w:color="auto" w:fill="auto"/>
            <w:noWrap/>
            <w:vAlign w:val="center"/>
            <w:hideMark/>
          </w:tcPr>
          <w:p w14:paraId="69A19D4C"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19,64</w:t>
            </w:r>
          </w:p>
        </w:tc>
        <w:tc>
          <w:tcPr>
            <w:tcW w:w="1020" w:type="dxa"/>
            <w:tcBorders>
              <w:top w:val="nil"/>
              <w:left w:val="nil"/>
              <w:bottom w:val="nil"/>
              <w:right w:val="nil"/>
            </w:tcBorders>
            <w:shd w:val="clear" w:color="auto" w:fill="auto"/>
            <w:noWrap/>
            <w:vAlign w:val="center"/>
            <w:hideMark/>
          </w:tcPr>
          <w:p w14:paraId="781C5F2C"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1,34</w:t>
            </w:r>
          </w:p>
        </w:tc>
        <w:tc>
          <w:tcPr>
            <w:tcW w:w="820" w:type="dxa"/>
            <w:tcBorders>
              <w:top w:val="nil"/>
              <w:left w:val="nil"/>
              <w:bottom w:val="nil"/>
              <w:right w:val="nil"/>
            </w:tcBorders>
            <w:shd w:val="clear" w:color="auto" w:fill="auto"/>
            <w:noWrap/>
            <w:vAlign w:val="center"/>
            <w:hideMark/>
          </w:tcPr>
          <w:p w14:paraId="737C10C5"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20,98</w:t>
            </w:r>
          </w:p>
        </w:tc>
        <w:tc>
          <w:tcPr>
            <w:tcW w:w="2400" w:type="dxa"/>
            <w:tcBorders>
              <w:top w:val="nil"/>
              <w:left w:val="nil"/>
              <w:bottom w:val="nil"/>
              <w:right w:val="single" w:sz="4" w:space="0" w:color="000000"/>
            </w:tcBorders>
            <w:shd w:val="clear" w:color="auto" w:fill="auto"/>
            <w:noWrap/>
            <w:vAlign w:val="center"/>
            <w:hideMark/>
          </w:tcPr>
          <w:p w14:paraId="799C4415"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3.021,12</w:t>
            </w:r>
          </w:p>
        </w:tc>
      </w:tr>
      <w:tr w:rsidR="009B77A6" w:rsidRPr="009B77A6" w14:paraId="1DBF9C63" w14:textId="77777777" w:rsidTr="009B77A6">
        <w:trPr>
          <w:trHeight w:val="315"/>
        </w:trPr>
        <w:tc>
          <w:tcPr>
            <w:tcW w:w="1910" w:type="dxa"/>
            <w:tcBorders>
              <w:top w:val="nil"/>
              <w:left w:val="single" w:sz="4" w:space="0" w:color="000000"/>
              <w:bottom w:val="nil"/>
              <w:right w:val="nil"/>
            </w:tcBorders>
            <w:shd w:val="clear" w:color="auto" w:fill="auto"/>
            <w:noWrap/>
            <w:vAlign w:val="center"/>
            <w:hideMark/>
          </w:tcPr>
          <w:p w14:paraId="6AFA974C"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proofErr w:type="spellStart"/>
            <w:r w:rsidRPr="009B77A6">
              <w:rPr>
                <w:rFonts w:ascii="Aptos" w:eastAsia="Times New Roman" w:hAnsi="Aptos" w:cs="Times New Roman"/>
                <w:color w:val="002060"/>
                <w:sz w:val="24"/>
                <w:szCs w:val="24"/>
                <w:lang w:eastAsia="it-IT"/>
              </w:rPr>
              <w:t>dic</w:t>
            </w:r>
            <w:proofErr w:type="spellEnd"/>
          </w:p>
        </w:tc>
        <w:tc>
          <w:tcPr>
            <w:tcW w:w="590" w:type="dxa"/>
            <w:tcBorders>
              <w:top w:val="nil"/>
              <w:left w:val="nil"/>
              <w:bottom w:val="nil"/>
              <w:right w:val="nil"/>
            </w:tcBorders>
            <w:shd w:val="clear" w:color="auto" w:fill="auto"/>
            <w:noWrap/>
            <w:vAlign w:val="center"/>
            <w:hideMark/>
          </w:tcPr>
          <w:p w14:paraId="2A8B2A6F"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165</w:t>
            </w:r>
          </w:p>
        </w:tc>
        <w:tc>
          <w:tcPr>
            <w:tcW w:w="820" w:type="dxa"/>
            <w:tcBorders>
              <w:top w:val="nil"/>
              <w:left w:val="nil"/>
              <w:bottom w:val="nil"/>
              <w:right w:val="nil"/>
            </w:tcBorders>
            <w:shd w:val="clear" w:color="auto" w:fill="auto"/>
            <w:noWrap/>
            <w:vAlign w:val="center"/>
            <w:hideMark/>
          </w:tcPr>
          <w:p w14:paraId="37E7A67D"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19,64</w:t>
            </w:r>
          </w:p>
        </w:tc>
        <w:tc>
          <w:tcPr>
            <w:tcW w:w="1020" w:type="dxa"/>
            <w:tcBorders>
              <w:top w:val="nil"/>
              <w:left w:val="nil"/>
              <w:bottom w:val="nil"/>
              <w:right w:val="nil"/>
            </w:tcBorders>
            <w:shd w:val="clear" w:color="auto" w:fill="auto"/>
            <w:noWrap/>
            <w:vAlign w:val="center"/>
            <w:hideMark/>
          </w:tcPr>
          <w:p w14:paraId="4CEACBCC"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1,34</w:t>
            </w:r>
          </w:p>
        </w:tc>
        <w:tc>
          <w:tcPr>
            <w:tcW w:w="820" w:type="dxa"/>
            <w:tcBorders>
              <w:top w:val="nil"/>
              <w:left w:val="nil"/>
              <w:bottom w:val="nil"/>
              <w:right w:val="nil"/>
            </w:tcBorders>
            <w:shd w:val="clear" w:color="auto" w:fill="auto"/>
            <w:noWrap/>
            <w:vAlign w:val="center"/>
            <w:hideMark/>
          </w:tcPr>
          <w:p w14:paraId="66992866"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20,98</w:t>
            </w:r>
          </w:p>
        </w:tc>
        <w:tc>
          <w:tcPr>
            <w:tcW w:w="2400" w:type="dxa"/>
            <w:tcBorders>
              <w:top w:val="nil"/>
              <w:left w:val="nil"/>
              <w:bottom w:val="nil"/>
              <w:right w:val="single" w:sz="4" w:space="0" w:color="000000"/>
            </w:tcBorders>
            <w:shd w:val="clear" w:color="auto" w:fill="auto"/>
            <w:noWrap/>
            <w:vAlign w:val="center"/>
            <w:hideMark/>
          </w:tcPr>
          <w:p w14:paraId="1CAFC259" w14:textId="77777777" w:rsidR="009B77A6" w:rsidRPr="009B77A6" w:rsidRDefault="009B77A6" w:rsidP="009B77A6">
            <w:pPr>
              <w:spacing w:after="0" w:line="240" w:lineRule="auto"/>
              <w:jc w:val="right"/>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3.461,70</w:t>
            </w:r>
          </w:p>
        </w:tc>
      </w:tr>
      <w:tr w:rsidR="009B77A6" w:rsidRPr="009B77A6" w14:paraId="1EE86D3E" w14:textId="77777777" w:rsidTr="009B77A6">
        <w:trPr>
          <w:trHeight w:val="330"/>
        </w:trPr>
        <w:tc>
          <w:tcPr>
            <w:tcW w:w="1910" w:type="dxa"/>
            <w:tcBorders>
              <w:top w:val="nil"/>
              <w:left w:val="single" w:sz="4" w:space="0" w:color="000000"/>
              <w:bottom w:val="single" w:sz="4" w:space="0" w:color="000000"/>
              <w:right w:val="nil"/>
            </w:tcBorders>
            <w:shd w:val="clear" w:color="auto" w:fill="auto"/>
            <w:noWrap/>
            <w:vAlign w:val="bottom"/>
            <w:hideMark/>
          </w:tcPr>
          <w:p w14:paraId="5ADF4373"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 </w:t>
            </w:r>
          </w:p>
        </w:tc>
        <w:tc>
          <w:tcPr>
            <w:tcW w:w="590" w:type="dxa"/>
            <w:tcBorders>
              <w:top w:val="nil"/>
              <w:left w:val="nil"/>
              <w:bottom w:val="single" w:sz="4" w:space="0" w:color="000000"/>
              <w:right w:val="nil"/>
            </w:tcBorders>
            <w:shd w:val="clear" w:color="auto" w:fill="auto"/>
            <w:noWrap/>
            <w:vAlign w:val="bottom"/>
            <w:hideMark/>
          </w:tcPr>
          <w:p w14:paraId="422B898A"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 </w:t>
            </w:r>
          </w:p>
        </w:tc>
        <w:tc>
          <w:tcPr>
            <w:tcW w:w="820" w:type="dxa"/>
            <w:tcBorders>
              <w:top w:val="nil"/>
              <w:left w:val="nil"/>
              <w:bottom w:val="single" w:sz="4" w:space="0" w:color="000000"/>
              <w:right w:val="nil"/>
            </w:tcBorders>
            <w:shd w:val="clear" w:color="auto" w:fill="auto"/>
            <w:noWrap/>
            <w:vAlign w:val="bottom"/>
            <w:hideMark/>
          </w:tcPr>
          <w:p w14:paraId="1B484927"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 </w:t>
            </w:r>
          </w:p>
        </w:tc>
        <w:tc>
          <w:tcPr>
            <w:tcW w:w="1020" w:type="dxa"/>
            <w:tcBorders>
              <w:top w:val="nil"/>
              <w:left w:val="nil"/>
              <w:bottom w:val="single" w:sz="4" w:space="0" w:color="000000"/>
              <w:right w:val="nil"/>
            </w:tcBorders>
            <w:shd w:val="clear" w:color="auto" w:fill="auto"/>
            <w:noWrap/>
            <w:vAlign w:val="bottom"/>
            <w:hideMark/>
          </w:tcPr>
          <w:p w14:paraId="3F2B24BA"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 </w:t>
            </w:r>
          </w:p>
        </w:tc>
        <w:tc>
          <w:tcPr>
            <w:tcW w:w="820" w:type="dxa"/>
            <w:tcBorders>
              <w:top w:val="nil"/>
              <w:left w:val="nil"/>
              <w:bottom w:val="single" w:sz="4" w:space="0" w:color="000000"/>
              <w:right w:val="nil"/>
            </w:tcBorders>
            <w:shd w:val="clear" w:color="auto" w:fill="auto"/>
            <w:noWrap/>
            <w:vAlign w:val="bottom"/>
            <w:hideMark/>
          </w:tcPr>
          <w:p w14:paraId="752CB8F3" w14:textId="77777777" w:rsidR="009B77A6" w:rsidRPr="009B77A6" w:rsidRDefault="009B77A6" w:rsidP="009B77A6">
            <w:pPr>
              <w:spacing w:after="0" w:line="240" w:lineRule="auto"/>
              <w:rPr>
                <w:rFonts w:ascii="Aptos" w:eastAsia="Times New Roman" w:hAnsi="Aptos" w:cs="Times New Roman"/>
                <w:color w:val="002060"/>
                <w:sz w:val="24"/>
                <w:szCs w:val="24"/>
                <w:lang w:eastAsia="it-IT"/>
              </w:rPr>
            </w:pPr>
            <w:r w:rsidRPr="009B77A6">
              <w:rPr>
                <w:rFonts w:ascii="Aptos" w:eastAsia="Times New Roman" w:hAnsi="Aptos" w:cs="Times New Roman"/>
                <w:color w:val="002060"/>
                <w:sz w:val="24"/>
                <w:szCs w:val="24"/>
                <w:lang w:eastAsia="it-IT"/>
              </w:rPr>
              <w:t> </w:t>
            </w:r>
          </w:p>
        </w:tc>
        <w:tc>
          <w:tcPr>
            <w:tcW w:w="2400" w:type="dxa"/>
            <w:tcBorders>
              <w:top w:val="nil"/>
              <w:left w:val="nil"/>
              <w:bottom w:val="single" w:sz="4" w:space="0" w:color="000000"/>
              <w:right w:val="single" w:sz="4" w:space="0" w:color="000000"/>
            </w:tcBorders>
            <w:shd w:val="clear" w:color="auto" w:fill="auto"/>
            <w:noWrap/>
            <w:vAlign w:val="center"/>
            <w:hideMark/>
          </w:tcPr>
          <w:p w14:paraId="4FC04A1F" w14:textId="77777777" w:rsidR="009B77A6" w:rsidRPr="009B77A6" w:rsidRDefault="009B77A6" w:rsidP="009B77A6">
            <w:pPr>
              <w:spacing w:after="0" w:line="240" w:lineRule="auto"/>
              <w:jc w:val="right"/>
              <w:rPr>
                <w:rFonts w:ascii="Aptos" w:eastAsia="Times New Roman" w:hAnsi="Aptos" w:cs="Times New Roman"/>
                <w:b/>
                <w:bCs/>
                <w:color w:val="002060"/>
                <w:sz w:val="24"/>
                <w:szCs w:val="24"/>
                <w:lang w:eastAsia="it-IT"/>
              </w:rPr>
            </w:pPr>
            <w:r w:rsidRPr="009B77A6">
              <w:rPr>
                <w:rFonts w:ascii="Aptos" w:eastAsia="Times New Roman" w:hAnsi="Aptos" w:cs="Times New Roman"/>
                <w:b/>
                <w:bCs/>
                <w:color w:val="002060"/>
                <w:sz w:val="24"/>
                <w:szCs w:val="24"/>
                <w:lang w:eastAsia="it-IT"/>
              </w:rPr>
              <w:t>29.267,10</w:t>
            </w:r>
          </w:p>
        </w:tc>
      </w:tr>
      <w:tr w:rsidR="009B77A6" w:rsidRPr="009B77A6" w14:paraId="4FE29815" w14:textId="77777777" w:rsidTr="009B77A6">
        <w:trPr>
          <w:trHeight w:val="390"/>
        </w:trPr>
        <w:tc>
          <w:tcPr>
            <w:tcW w:w="1910" w:type="dxa"/>
            <w:tcBorders>
              <w:top w:val="nil"/>
              <w:left w:val="nil"/>
              <w:bottom w:val="nil"/>
              <w:right w:val="nil"/>
            </w:tcBorders>
            <w:shd w:val="clear" w:color="auto" w:fill="auto"/>
            <w:noWrap/>
            <w:vAlign w:val="bottom"/>
            <w:hideMark/>
          </w:tcPr>
          <w:p w14:paraId="55B39F2A" w14:textId="77777777" w:rsidR="009B77A6" w:rsidRPr="009B77A6" w:rsidRDefault="009B77A6" w:rsidP="009B77A6">
            <w:pPr>
              <w:spacing w:after="0" w:line="240" w:lineRule="auto"/>
              <w:jc w:val="right"/>
              <w:rPr>
                <w:rFonts w:ascii="Aptos" w:eastAsia="Times New Roman" w:hAnsi="Aptos" w:cs="Times New Roman"/>
                <w:b/>
                <w:bCs/>
                <w:color w:val="002060"/>
                <w:sz w:val="24"/>
                <w:szCs w:val="24"/>
                <w:lang w:eastAsia="it-IT"/>
              </w:rPr>
            </w:pPr>
          </w:p>
        </w:tc>
        <w:tc>
          <w:tcPr>
            <w:tcW w:w="590" w:type="dxa"/>
            <w:tcBorders>
              <w:top w:val="nil"/>
              <w:left w:val="nil"/>
              <w:bottom w:val="nil"/>
              <w:right w:val="nil"/>
            </w:tcBorders>
            <w:shd w:val="clear" w:color="auto" w:fill="auto"/>
            <w:noWrap/>
            <w:vAlign w:val="bottom"/>
            <w:hideMark/>
          </w:tcPr>
          <w:p w14:paraId="66EDFE93" w14:textId="77777777" w:rsidR="009B77A6" w:rsidRPr="009B77A6" w:rsidRDefault="009B77A6" w:rsidP="009B77A6">
            <w:pPr>
              <w:spacing w:after="0" w:line="240" w:lineRule="auto"/>
              <w:rPr>
                <w:rFonts w:ascii="Times New Roman" w:eastAsia="Times New Roman" w:hAnsi="Times New Roman" w:cs="Times New Roman"/>
                <w:color w:val="002060"/>
                <w:sz w:val="20"/>
                <w:szCs w:val="20"/>
                <w:lang w:eastAsia="it-IT"/>
              </w:rPr>
            </w:pPr>
          </w:p>
        </w:tc>
        <w:tc>
          <w:tcPr>
            <w:tcW w:w="820" w:type="dxa"/>
            <w:tcBorders>
              <w:top w:val="nil"/>
              <w:left w:val="nil"/>
              <w:bottom w:val="nil"/>
              <w:right w:val="nil"/>
            </w:tcBorders>
            <w:shd w:val="clear" w:color="auto" w:fill="auto"/>
            <w:noWrap/>
            <w:vAlign w:val="bottom"/>
            <w:hideMark/>
          </w:tcPr>
          <w:p w14:paraId="534C31F5" w14:textId="77777777" w:rsidR="009B77A6" w:rsidRPr="009B77A6" w:rsidRDefault="009B77A6" w:rsidP="009B77A6">
            <w:pPr>
              <w:spacing w:after="0" w:line="240" w:lineRule="auto"/>
              <w:rPr>
                <w:rFonts w:ascii="Times New Roman" w:eastAsia="Times New Roman" w:hAnsi="Times New Roman" w:cs="Times New Roman"/>
                <w:color w:val="002060"/>
                <w:sz w:val="20"/>
                <w:szCs w:val="20"/>
                <w:lang w:eastAsia="it-IT"/>
              </w:rPr>
            </w:pPr>
          </w:p>
        </w:tc>
        <w:tc>
          <w:tcPr>
            <w:tcW w:w="1020" w:type="dxa"/>
            <w:tcBorders>
              <w:top w:val="nil"/>
              <w:left w:val="nil"/>
              <w:bottom w:val="nil"/>
              <w:right w:val="nil"/>
            </w:tcBorders>
            <w:shd w:val="clear" w:color="auto" w:fill="auto"/>
            <w:noWrap/>
            <w:vAlign w:val="bottom"/>
            <w:hideMark/>
          </w:tcPr>
          <w:p w14:paraId="2D2554B4" w14:textId="77777777" w:rsidR="009B77A6" w:rsidRPr="009B77A6" w:rsidRDefault="009B77A6" w:rsidP="009B77A6">
            <w:pPr>
              <w:spacing w:after="0" w:line="240" w:lineRule="auto"/>
              <w:rPr>
                <w:rFonts w:ascii="Times New Roman" w:eastAsia="Times New Roman" w:hAnsi="Times New Roman" w:cs="Times New Roman"/>
                <w:color w:val="002060"/>
                <w:sz w:val="20"/>
                <w:szCs w:val="20"/>
                <w:lang w:eastAsia="it-IT"/>
              </w:rPr>
            </w:pPr>
          </w:p>
        </w:tc>
        <w:tc>
          <w:tcPr>
            <w:tcW w:w="820" w:type="dxa"/>
            <w:tcBorders>
              <w:top w:val="single" w:sz="8" w:space="0" w:color="auto"/>
              <w:left w:val="single" w:sz="8" w:space="0" w:color="auto"/>
              <w:bottom w:val="single" w:sz="8" w:space="0" w:color="auto"/>
              <w:right w:val="nil"/>
            </w:tcBorders>
            <w:shd w:val="clear" w:color="auto" w:fill="auto"/>
            <w:noWrap/>
            <w:vAlign w:val="bottom"/>
            <w:hideMark/>
          </w:tcPr>
          <w:p w14:paraId="0C2F48EC" w14:textId="2C7D26E2" w:rsidR="009B77A6" w:rsidRPr="009B77A6" w:rsidRDefault="009B77A6" w:rsidP="009B77A6">
            <w:pPr>
              <w:spacing w:after="0" w:line="240" w:lineRule="auto"/>
              <w:jc w:val="center"/>
              <w:rPr>
                <w:rFonts w:ascii="Aptos Narrow" w:eastAsia="Times New Roman" w:hAnsi="Aptos Narrow" w:cs="Times New Roman"/>
                <w:b/>
                <w:bCs/>
                <w:color w:val="002060"/>
                <w:sz w:val="28"/>
                <w:szCs w:val="28"/>
                <w:lang w:eastAsia="it-IT"/>
              </w:rPr>
            </w:pPr>
            <w:r w:rsidRPr="009B77A6">
              <w:rPr>
                <w:rFonts w:ascii="Aptos Narrow" w:eastAsia="Times New Roman" w:hAnsi="Aptos Narrow" w:cs="Times New Roman"/>
                <w:b/>
                <w:bCs/>
                <w:color w:val="002060"/>
                <w:sz w:val="28"/>
                <w:szCs w:val="28"/>
                <w:lang w:eastAsia="it-IT"/>
              </w:rPr>
              <w:t>TOT 2025</w:t>
            </w:r>
          </w:p>
        </w:tc>
        <w:tc>
          <w:tcPr>
            <w:tcW w:w="2400" w:type="dxa"/>
            <w:tcBorders>
              <w:top w:val="single" w:sz="8" w:space="0" w:color="auto"/>
              <w:left w:val="nil"/>
              <w:bottom w:val="single" w:sz="8" w:space="0" w:color="auto"/>
              <w:right w:val="single" w:sz="8" w:space="0" w:color="auto"/>
            </w:tcBorders>
            <w:shd w:val="clear" w:color="auto" w:fill="auto"/>
            <w:noWrap/>
            <w:vAlign w:val="bottom"/>
            <w:hideMark/>
          </w:tcPr>
          <w:p w14:paraId="0D0D3CCF" w14:textId="77777777" w:rsidR="009B77A6" w:rsidRPr="009B77A6" w:rsidRDefault="009B77A6" w:rsidP="009B77A6">
            <w:pPr>
              <w:spacing w:after="0" w:line="240" w:lineRule="auto"/>
              <w:jc w:val="center"/>
              <w:rPr>
                <w:rFonts w:ascii="Aptos Narrow" w:eastAsia="Times New Roman" w:hAnsi="Aptos Narrow" w:cs="Times New Roman"/>
                <w:b/>
                <w:bCs/>
                <w:color w:val="002060"/>
                <w:sz w:val="28"/>
                <w:szCs w:val="28"/>
                <w:lang w:eastAsia="it-IT"/>
              </w:rPr>
            </w:pPr>
            <w:r w:rsidRPr="009B77A6">
              <w:rPr>
                <w:rFonts w:ascii="Aptos Narrow" w:eastAsia="Times New Roman" w:hAnsi="Aptos Narrow" w:cs="Times New Roman"/>
                <w:b/>
                <w:bCs/>
                <w:color w:val="002060"/>
                <w:sz w:val="28"/>
                <w:szCs w:val="28"/>
                <w:lang w:eastAsia="it-IT"/>
              </w:rPr>
              <w:t>34.637,98</w:t>
            </w:r>
          </w:p>
        </w:tc>
      </w:tr>
    </w:tbl>
    <w:p w14:paraId="24DC8EBC" w14:textId="77777777" w:rsidR="00EC797A" w:rsidRDefault="00EC797A" w:rsidP="00EC797A">
      <w:pPr>
        <w:spacing w:after="0" w:line="240" w:lineRule="auto"/>
        <w:jc w:val="both"/>
        <w:rPr>
          <w:rFonts w:eastAsia="Calibri" w:cstheme="minorHAnsi"/>
          <w:color w:val="002060"/>
          <w:sz w:val="24"/>
          <w:szCs w:val="24"/>
          <w:lang w:eastAsia="it-IT"/>
        </w:rPr>
      </w:pPr>
    </w:p>
    <w:p w14:paraId="5F1542DD" w14:textId="77777777" w:rsidR="009B77A6" w:rsidRPr="009B77A6" w:rsidRDefault="009B77A6" w:rsidP="00EC797A">
      <w:pPr>
        <w:spacing w:after="0" w:line="240" w:lineRule="auto"/>
        <w:jc w:val="both"/>
        <w:rPr>
          <w:rFonts w:eastAsia="Calibri" w:cstheme="minorHAnsi"/>
          <w:color w:val="002060"/>
          <w:sz w:val="24"/>
          <w:szCs w:val="24"/>
          <w:lang w:eastAsia="it-IT"/>
        </w:rPr>
      </w:pPr>
    </w:p>
    <w:tbl>
      <w:tblPr>
        <w:tblW w:w="5093" w:type="dxa"/>
        <w:tblCellMar>
          <w:left w:w="70" w:type="dxa"/>
          <w:right w:w="70" w:type="dxa"/>
        </w:tblCellMar>
        <w:tblLook w:val="04A0" w:firstRow="1" w:lastRow="0" w:firstColumn="1" w:lastColumn="0" w:noHBand="0" w:noVBand="1"/>
      </w:tblPr>
      <w:tblGrid>
        <w:gridCol w:w="3400"/>
        <w:gridCol w:w="1693"/>
      </w:tblGrid>
      <w:tr w:rsidR="009B77A6" w:rsidRPr="009B77A6" w14:paraId="70DA63BE" w14:textId="77777777" w:rsidTr="009B77A6">
        <w:trPr>
          <w:trHeight w:val="510"/>
        </w:trPr>
        <w:tc>
          <w:tcPr>
            <w:tcW w:w="5093" w:type="dxa"/>
            <w:gridSpan w:val="2"/>
            <w:tcBorders>
              <w:top w:val="single" w:sz="8" w:space="0" w:color="000000"/>
              <w:left w:val="single" w:sz="8" w:space="0" w:color="000000"/>
              <w:bottom w:val="single" w:sz="4" w:space="0" w:color="auto"/>
              <w:right w:val="single" w:sz="8" w:space="0" w:color="000000"/>
            </w:tcBorders>
            <w:shd w:val="clear" w:color="000000" w:fill="C5E0B3"/>
            <w:vAlign w:val="center"/>
            <w:hideMark/>
          </w:tcPr>
          <w:p w14:paraId="03871918" w14:textId="45663709" w:rsidR="009B77A6" w:rsidRPr="009B77A6" w:rsidRDefault="009B77A6" w:rsidP="009B77A6">
            <w:pPr>
              <w:spacing w:after="0" w:line="240" w:lineRule="auto"/>
              <w:jc w:val="center"/>
              <w:rPr>
                <w:rFonts w:ascii="Calibri" w:eastAsia="Times New Roman" w:hAnsi="Calibri" w:cs="Calibri"/>
                <w:b/>
                <w:bCs/>
                <w:color w:val="002060"/>
                <w:lang w:eastAsia="it-IT"/>
              </w:rPr>
            </w:pPr>
            <w:r w:rsidRPr="009B77A6">
              <w:rPr>
                <w:rFonts w:ascii="Calibri" w:eastAsia="Times New Roman" w:hAnsi="Calibri" w:cs="Calibri"/>
                <w:b/>
                <w:bCs/>
                <w:color w:val="002060"/>
                <w:lang w:eastAsia="it-IT"/>
              </w:rPr>
              <w:t>AREA B - posizione economica 1 -</w:t>
            </w:r>
            <w:r>
              <w:rPr>
                <w:rFonts w:ascii="Calibri" w:eastAsia="Times New Roman" w:hAnsi="Calibri" w:cs="Calibri"/>
                <w:b/>
                <w:bCs/>
                <w:color w:val="002060"/>
                <w:lang w:eastAsia="it-IT"/>
              </w:rPr>
              <w:t xml:space="preserve"> </w:t>
            </w:r>
            <w:r w:rsidRPr="009B77A6">
              <w:rPr>
                <w:rFonts w:ascii="Calibri" w:eastAsia="Times New Roman" w:hAnsi="Calibri" w:cs="Calibri"/>
                <w:b/>
                <w:bCs/>
                <w:color w:val="002060"/>
                <w:lang w:eastAsia="it-IT"/>
              </w:rPr>
              <w:t>anno 2026 e 2027</w:t>
            </w:r>
          </w:p>
        </w:tc>
      </w:tr>
      <w:tr w:rsidR="009B77A6" w:rsidRPr="009B77A6" w14:paraId="230DD608" w14:textId="77777777" w:rsidTr="009B77A6">
        <w:trPr>
          <w:trHeight w:val="51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53153F1" w14:textId="77777777" w:rsidR="009B77A6" w:rsidRPr="009B77A6" w:rsidRDefault="009B77A6" w:rsidP="009B77A6">
            <w:pPr>
              <w:spacing w:after="0" w:line="240" w:lineRule="auto"/>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RETRIBUZIONE LORDA ANNUALE</w:t>
            </w:r>
          </w:p>
        </w:tc>
        <w:tc>
          <w:tcPr>
            <w:tcW w:w="1693" w:type="dxa"/>
            <w:tcBorders>
              <w:top w:val="nil"/>
              <w:left w:val="nil"/>
              <w:bottom w:val="single" w:sz="4" w:space="0" w:color="auto"/>
              <w:right w:val="single" w:sz="4" w:space="0" w:color="auto"/>
            </w:tcBorders>
            <w:shd w:val="clear" w:color="auto" w:fill="auto"/>
            <w:vAlign w:val="center"/>
            <w:hideMark/>
          </w:tcPr>
          <w:p w14:paraId="506DE598" w14:textId="77777777" w:rsidR="009B77A6" w:rsidRPr="009B77A6" w:rsidRDefault="009B77A6" w:rsidP="009B77A6">
            <w:pPr>
              <w:spacing w:after="0" w:line="240" w:lineRule="auto"/>
              <w:jc w:val="right"/>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25.466,21 €</w:t>
            </w:r>
          </w:p>
        </w:tc>
      </w:tr>
      <w:tr w:rsidR="009B77A6" w:rsidRPr="009B77A6" w14:paraId="56B7A8A3" w14:textId="77777777" w:rsidTr="009B77A6">
        <w:trPr>
          <w:trHeight w:val="51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4D8B444" w14:textId="77777777" w:rsidR="009B77A6" w:rsidRPr="009B77A6" w:rsidRDefault="009B77A6" w:rsidP="009B77A6">
            <w:pPr>
              <w:spacing w:after="0" w:line="240" w:lineRule="auto"/>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 xml:space="preserve">INPS </w:t>
            </w:r>
          </w:p>
        </w:tc>
        <w:tc>
          <w:tcPr>
            <w:tcW w:w="1693" w:type="dxa"/>
            <w:tcBorders>
              <w:top w:val="nil"/>
              <w:left w:val="nil"/>
              <w:bottom w:val="single" w:sz="4" w:space="0" w:color="auto"/>
              <w:right w:val="single" w:sz="4" w:space="0" w:color="auto"/>
            </w:tcBorders>
            <w:shd w:val="clear" w:color="auto" w:fill="auto"/>
            <w:vAlign w:val="center"/>
            <w:hideMark/>
          </w:tcPr>
          <w:p w14:paraId="688879DB" w14:textId="77777777" w:rsidR="009B77A6" w:rsidRPr="009B77A6" w:rsidRDefault="009B77A6" w:rsidP="009B77A6">
            <w:pPr>
              <w:spacing w:after="0" w:line="240" w:lineRule="auto"/>
              <w:jc w:val="right"/>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6.524,38 €</w:t>
            </w:r>
          </w:p>
        </w:tc>
      </w:tr>
      <w:tr w:rsidR="009B77A6" w:rsidRPr="009B77A6" w14:paraId="63EF83E5" w14:textId="77777777" w:rsidTr="009B77A6">
        <w:trPr>
          <w:trHeight w:val="51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ECD6C80" w14:textId="77777777" w:rsidR="009B77A6" w:rsidRPr="009B77A6" w:rsidRDefault="009B77A6" w:rsidP="009B77A6">
            <w:pPr>
              <w:spacing w:after="0" w:line="240" w:lineRule="auto"/>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CONTRIBUTI ENPDEP</w:t>
            </w:r>
          </w:p>
        </w:tc>
        <w:tc>
          <w:tcPr>
            <w:tcW w:w="1693" w:type="dxa"/>
            <w:tcBorders>
              <w:top w:val="nil"/>
              <w:left w:val="nil"/>
              <w:bottom w:val="single" w:sz="4" w:space="0" w:color="auto"/>
              <w:right w:val="single" w:sz="4" w:space="0" w:color="auto"/>
            </w:tcBorders>
            <w:shd w:val="clear" w:color="auto" w:fill="auto"/>
            <w:vAlign w:val="center"/>
            <w:hideMark/>
          </w:tcPr>
          <w:p w14:paraId="09C84AF0" w14:textId="77777777" w:rsidR="009B77A6" w:rsidRPr="009B77A6" w:rsidRDefault="009B77A6" w:rsidP="009B77A6">
            <w:pPr>
              <w:spacing w:after="0" w:line="240" w:lineRule="auto"/>
              <w:jc w:val="right"/>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30,55 €</w:t>
            </w:r>
          </w:p>
        </w:tc>
      </w:tr>
      <w:tr w:rsidR="009B77A6" w:rsidRPr="009B77A6" w14:paraId="55FD2332" w14:textId="77777777" w:rsidTr="009B77A6">
        <w:trPr>
          <w:trHeight w:val="960"/>
        </w:trPr>
        <w:tc>
          <w:tcPr>
            <w:tcW w:w="34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3D68F" w14:textId="77777777" w:rsidR="009B77A6" w:rsidRPr="009B77A6" w:rsidRDefault="009B77A6" w:rsidP="009B77A6">
            <w:pPr>
              <w:spacing w:after="0" w:line="240" w:lineRule="auto"/>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CONTRIBUTI INAIL</w:t>
            </w:r>
          </w:p>
        </w:tc>
        <w:tc>
          <w:tcPr>
            <w:tcW w:w="1693" w:type="dxa"/>
            <w:tcBorders>
              <w:top w:val="single" w:sz="4" w:space="0" w:color="auto"/>
              <w:left w:val="nil"/>
              <w:bottom w:val="single" w:sz="4" w:space="0" w:color="auto"/>
              <w:right w:val="single" w:sz="4" w:space="0" w:color="auto"/>
            </w:tcBorders>
            <w:shd w:val="clear" w:color="auto" w:fill="auto"/>
            <w:vAlign w:val="center"/>
            <w:hideMark/>
          </w:tcPr>
          <w:p w14:paraId="066B1B26" w14:textId="77777777" w:rsidR="009B77A6" w:rsidRPr="009B77A6" w:rsidRDefault="009B77A6" w:rsidP="009B77A6">
            <w:pPr>
              <w:spacing w:after="0" w:line="240" w:lineRule="auto"/>
              <w:jc w:val="right"/>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122,17 €</w:t>
            </w:r>
          </w:p>
        </w:tc>
      </w:tr>
      <w:tr w:rsidR="009B77A6" w:rsidRPr="009B77A6" w14:paraId="5C5812D9" w14:textId="77777777" w:rsidTr="009B77A6">
        <w:trPr>
          <w:trHeight w:val="645"/>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B3C1D50" w14:textId="77777777" w:rsidR="009B77A6" w:rsidRPr="009B77A6" w:rsidRDefault="009B77A6" w:rsidP="009B77A6">
            <w:pPr>
              <w:spacing w:after="0" w:line="240" w:lineRule="auto"/>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CONTRIBUTI IRAP 8,5%</w:t>
            </w:r>
          </w:p>
        </w:tc>
        <w:tc>
          <w:tcPr>
            <w:tcW w:w="1693" w:type="dxa"/>
            <w:tcBorders>
              <w:top w:val="nil"/>
              <w:left w:val="nil"/>
              <w:bottom w:val="single" w:sz="4" w:space="0" w:color="auto"/>
              <w:right w:val="single" w:sz="4" w:space="0" w:color="auto"/>
            </w:tcBorders>
            <w:shd w:val="clear" w:color="auto" w:fill="auto"/>
            <w:vAlign w:val="center"/>
            <w:hideMark/>
          </w:tcPr>
          <w:p w14:paraId="7C3D7255" w14:textId="77777777" w:rsidR="009B77A6" w:rsidRPr="009B77A6" w:rsidRDefault="009B77A6" w:rsidP="009B77A6">
            <w:pPr>
              <w:spacing w:after="0" w:line="240" w:lineRule="auto"/>
              <w:jc w:val="right"/>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2.164,61 €</w:t>
            </w:r>
          </w:p>
        </w:tc>
      </w:tr>
      <w:tr w:rsidR="009B77A6" w:rsidRPr="009B77A6" w14:paraId="28873A28" w14:textId="77777777" w:rsidTr="009B77A6">
        <w:trPr>
          <w:trHeight w:val="315"/>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9D8054B" w14:textId="77777777" w:rsidR="009B77A6" w:rsidRPr="009B77A6" w:rsidRDefault="009B77A6" w:rsidP="009B77A6">
            <w:pPr>
              <w:spacing w:after="0" w:line="240" w:lineRule="auto"/>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TFR</w:t>
            </w:r>
          </w:p>
        </w:tc>
        <w:tc>
          <w:tcPr>
            <w:tcW w:w="1693" w:type="dxa"/>
            <w:tcBorders>
              <w:top w:val="nil"/>
              <w:left w:val="nil"/>
              <w:bottom w:val="single" w:sz="4" w:space="0" w:color="auto"/>
              <w:right w:val="single" w:sz="4" w:space="0" w:color="auto"/>
            </w:tcBorders>
            <w:shd w:val="clear" w:color="auto" w:fill="auto"/>
            <w:vAlign w:val="center"/>
            <w:hideMark/>
          </w:tcPr>
          <w:p w14:paraId="2F4FEEC1" w14:textId="77777777" w:rsidR="009B77A6" w:rsidRPr="009B77A6" w:rsidRDefault="009B77A6" w:rsidP="009B77A6">
            <w:pPr>
              <w:spacing w:after="0" w:line="240" w:lineRule="auto"/>
              <w:jc w:val="right"/>
              <w:rPr>
                <w:rFonts w:ascii="Calibri" w:eastAsia="Times New Roman" w:hAnsi="Calibri" w:cs="Calibri"/>
                <w:color w:val="002060"/>
                <w:sz w:val="24"/>
                <w:szCs w:val="24"/>
                <w:lang w:eastAsia="it-IT"/>
              </w:rPr>
            </w:pPr>
            <w:r w:rsidRPr="009B77A6">
              <w:rPr>
                <w:rFonts w:ascii="Calibri" w:eastAsia="Times New Roman" w:hAnsi="Calibri" w:cs="Calibri"/>
                <w:color w:val="002060"/>
                <w:sz w:val="24"/>
                <w:szCs w:val="24"/>
                <w:lang w:eastAsia="it-IT"/>
              </w:rPr>
              <w:t>1.886,38 €</w:t>
            </w:r>
          </w:p>
        </w:tc>
      </w:tr>
      <w:tr w:rsidR="009B77A6" w:rsidRPr="009B77A6" w14:paraId="529C8280" w14:textId="77777777" w:rsidTr="009B77A6">
        <w:trPr>
          <w:trHeight w:val="315"/>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6CED46A" w14:textId="77777777" w:rsidR="009B77A6" w:rsidRPr="009B77A6" w:rsidRDefault="009B77A6" w:rsidP="009B77A6">
            <w:pPr>
              <w:spacing w:after="0" w:line="240" w:lineRule="auto"/>
              <w:rPr>
                <w:rFonts w:ascii="Calibri" w:eastAsia="Times New Roman" w:hAnsi="Calibri" w:cs="Calibri"/>
                <w:b/>
                <w:bCs/>
                <w:color w:val="002060"/>
                <w:sz w:val="24"/>
                <w:szCs w:val="24"/>
                <w:lang w:eastAsia="it-IT"/>
              </w:rPr>
            </w:pPr>
            <w:r w:rsidRPr="009B77A6">
              <w:rPr>
                <w:rFonts w:ascii="Calibri" w:eastAsia="Times New Roman" w:hAnsi="Calibri" w:cs="Calibri"/>
                <w:b/>
                <w:bCs/>
                <w:color w:val="002060"/>
                <w:sz w:val="24"/>
                <w:szCs w:val="24"/>
                <w:lang w:eastAsia="it-IT"/>
              </w:rPr>
              <w:t>TOTALE COSTO ANNUO</w:t>
            </w:r>
          </w:p>
        </w:tc>
        <w:tc>
          <w:tcPr>
            <w:tcW w:w="1693" w:type="dxa"/>
            <w:tcBorders>
              <w:top w:val="nil"/>
              <w:left w:val="nil"/>
              <w:bottom w:val="single" w:sz="4" w:space="0" w:color="auto"/>
              <w:right w:val="single" w:sz="4" w:space="0" w:color="auto"/>
            </w:tcBorders>
            <w:shd w:val="clear" w:color="auto" w:fill="auto"/>
            <w:vAlign w:val="center"/>
            <w:hideMark/>
          </w:tcPr>
          <w:p w14:paraId="27B7D614" w14:textId="77777777" w:rsidR="009B77A6" w:rsidRPr="009B77A6" w:rsidRDefault="009B77A6" w:rsidP="009B77A6">
            <w:pPr>
              <w:spacing w:after="0" w:line="240" w:lineRule="auto"/>
              <w:jc w:val="right"/>
              <w:rPr>
                <w:rFonts w:ascii="Calibri" w:eastAsia="Times New Roman" w:hAnsi="Calibri" w:cs="Calibri"/>
                <w:b/>
                <w:bCs/>
                <w:color w:val="002060"/>
                <w:sz w:val="24"/>
                <w:szCs w:val="24"/>
                <w:lang w:eastAsia="it-IT"/>
              </w:rPr>
            </w:pPr>
            <w:r w:rsidRPr="009B77A6">
              <w:rPr>
                <w:rFonts w:ascii="Calibri" w:eastAsia="Times New Roman" w:hAnsi="Calibri" w:cs="Calibri"/>
                <w:b/>
                <w:bCs/>
                <w:color w:val="002060"/>
                <w:sz w:val="24"/>
                <w:szCs w:val="24"/>
                <w:lang w:eastAsia="it-IT"/>
              </w:rPr>
              <w:t>36.194,30 €</w:t>
            </w:r>
          </w:p>
        </w:tc>
      </w:tr>
    </w:tbl>
    <w:p w14:paraId="7DFCA531" w14:textId="77777777" w:rsidR="00EC797A" w:rsidRPr="009B77A6" w:rsidRDefault="00EC797A" w:rsidP="00117C81">
      <w:pPr>
        <w:spacing w:after="0" w:line="240" w:lineRule="auto"/>
        <w:jc w:val="both"/>
        <w:rPr>
          <w:rFonts w:eastAsia="Calibri" w:cstheme="minorHAnsi"/>
          <w:color w:val="002060"/>
          <w:sz w:val="24"/>
          <w:szCs w:val="24"/>
          <w:lang w:eastAsia="it-IT"/>
        </w:rPr>
      </w:pPr>
    </w:p>
    <w:bookmarkEnd w:id="1"/>
    <w:p w14:paraId="5066FACD" w14:textId="25E2E28E" w:rsidR="006E18A7" w:rsidRPr="009B77A6" w:rsidRDefault="006E18A7" w:rsidP="0034460E">
      <w:pPr>
        <w:pStyle w:val="Titolo1"/>
        <w:numPr>
          <w:ilvl w:val="0"/>
          <w:numId w:val="3"/>
        </w:numPr>
        <w:rPr>
          <w:rFonts w:asciiTheme="minorHAnsi" w:eastAsia="Calibri" w:hAnsiTheme="minorHAnsi" w:cstheme="minorHAnsi"/>
          <w:b/>
          <w:bCs/>
          <w:color w:val="002060"/>
          <w:u w:val="single"/>
        </w:rPr>
      </w:pPr>
      <w:r w:rsidRPr="009B77A6">
        <w:rPr>
          <w:rFonts w:asciiTheme="minorHAnsi" w:eastAsia="Calibri" w:hAnsiTheme="minorHAnsi" w:cstheme="minorHAnsi"/>
          <w:b/>
          <w:bCs/>
          <w:color w:val="002060"/>
          <w:u w:val="single"/>
        </w:rPr>
        <w:t>Reclutamento del personale</w:t>
      </w:r>
    </w:p>
    <w:p w14:paraId="19B05B53" w14:textId="77777777" w:rsidR="006E18A7" w:rsidRPr="00853781" w:rsidRDefault="006E18A7" w:rsidP="006E18A7">
      <w:pPr>
        <w:spacing w:before="240" w:after="240"/>
        <w:rPr>
          <w:rFonts w:eastAsia="Calibri" w:cstheme="minorHAnsi"/>
          <w:color w:val="002060"/>
        </w:rPr>
      </w:pPr>
      <w:r w:rsidRPr="00853781">
        <w:rPr>
          <w:rFonts w:eastAsia="Calibri" w:cstheme="minorHAnsi"/>
          <w:color w:val="002060"/>
        </w:rPr>
        <w:t xml:space="preserve">Anche se non inseriti nell'elenco dell'Istituto nazionale di statistica (ISTAT), gli Ordini professionali </w:t>
      </w:r>
      <w:r w:rsidRPr="00853781">
        <w:rPr>
          <w:rFonts w:eastAsia="Calibri" w:cstheme="minorHAnsi"/>
          <w:b/>
          <w:color w:val="002060"/>
        </w:rPr>
        <w:t>sono tenuti a garantire una distribuzione ottimale delle risorse umane nell’ambito della pubblica amministrazione</w:t>
      </w:r>
      <w:r w:rsidRPr="00853781">
        <w:rPr>
          <w:rFonts w:eastAsia="Calibri" w:cstheme="minorHAnsi"/>
          <w:color w:val="002060"/>
        </w:rPr>
        <w:t xml:space="preserve"> e ad adeguare le proprie politiche di reclutamento di personale al principio del contenimento della spesa in coerenza con gli obiettivi fissati dai documenti di finanza pubblica.</w:t>
      </w:r>
    </w:p>
    <w:p w14:paraId="1DAC3242" w14:textId="3246AD5B" w:rsidR="006E18A7" w:rsidRPr="00853781" w:rsidRDefault="006E18A7" w:rsidP="006E18A7">
      <w:pPr>
        <w:spacing w:before="240" w:after="240"/>
        <w:rPr>
          <w:rFonts w:eastAsia="Calibri" w:cstheme="minorHAnsi"/>
          <w:color w:val="002060"/>
        </w:rPr>
      </w:pPr>
      <w:r w:rsidRPr="00853781">
        <w:rPr>
          <w:rFonts w:eastAsia="Calibri" w:cstheme="minorHAnsi"/>
          <w:color w:val="002060"/>
        </w:rPr>
        <w:t xml:space="preserve">In altri termini, anche per gli Ordini – in qualità di enti pubblici facente parte del complesso sistema delle pubbliche amministrazioni – vige il </w:t>
      </w:r>
      <w:r w:rsidRPr="00853781">
        <w:rPr>
          <w:rFonts w:eastAsia="Calibri" w:cstheme="minorHAnsi"/>
          <w:b/>
          <w:color w:val="002060"/>
        </w:rPr>
        <w:t>principio di razionalizzazione della spesa</w:t>
      </w:r>
      <w:r w:rsidRPr="00853781">
        <w:rPr>
          <w:rFonts w:eastAsia="Calibri" w:cstheme="minorHAnsi"/>
          <w:color w:val="002060"/>
        </w:rPr>
        <w:t xml:space="preserve"> e di efficienza della pubblica amministrazione, per cui </w:t>
      </w:r>
      <w:r w:rsidRPr="00853781">
        <w:rPr>
          <w:rFonts w:eastAsia="Calibri" w:cstheme="minorHAnsi"/>
          <w:b/>
          <w:color w:val="002060"/>
        </w:rPr>
        <w:t>prima</w:t>
      </w:r>
      <w:r w:rsidRPr="00853781">
        <w:rPr>
          <w:rFonts w:eastAsia="Calibri" w:cstheme="minorHAnsi"/>
          <w:color w:val="002060"/>
        </w:rPr>
        <w:t xml:space="preserve"> di avviare qualsiasi procedur</w:t>
      </w:r>
      <w:r w:rsidR="009E673F" w:rsidRPr="00853781">
        <w:rPr>
          <w:rFonts w:eastAsia="Calibri" w:cstheme="minorHAnsi"/>
          <w:color w:val="002060"/>
        </w:rPr>
        <w:t>a</w:t>
      </w:r>
      <w:r w:rsidRPr="00853781">
        <w:rPr>
          <w:rFonts w:eastAsia="Calibri" w:cstheme="minorHAnsi"/>
          <w:color w:val="002060"/>
        </w:rPr>
        <w:t xml:space="preserve"> di reclutamento occorre dar </w:t>
      </w:r>
      <w:r w:rsidRPr="00853781">
        <w:rPr>
          <w:rFonts w:eastAsia="Calibri" w:cstheme="minorHAnsi"/>
          <w:b/>
          <w:color w:val="002060"/>
        </w:rPr>
        <w:t>attuazione ai processi di mobilità</w:t>
      </w:r>
      <w:r w:rsidRPr="00853781">
        <w:rPr>
          <w:rFonts w:eastAsia="Calibri" w:cstheme="minorHAnsi"/>
          <w:color w:val="002060"/>
        </w:rPr>
        <w:t xml:space="preserve"> del personale proveniente da altra pubblica amministrazione. In tal senso, occorre richiamare l’art. 6, c. 2, d.lgs. 165/2001, per il quale:</w:t>
      </w:r>
    </w:p>
    <w:p w14:paraId="7210BCCE" w14:textId="28935CD8" w:rsidR="006E18A7" w:rsidRPr="00853781" w:rsidRDefault="006E18A7" w:rsidP="006E18A7">
      <w:pPr>
        <w:spacing w:before="240" w:after="240"/>
        <w:ind w:left="700"/>
        <w:rPr>
          <w:rFonts w:eastAsia="Calibri" w:cstheme="minorHAnsi"/>
          <w:color w:val="002060"/>
        </w:rPr>
      </w:pPr>
      <w:r w:rsidRPr="00853781">
        <w:rPr>
          <w:rFonts w:eastAsia="Calibri" w:cstheme="minorHAnsi"/>
          <w:i/>
          <w:color w:val="002060"/>
        </w:rPr>
        <w:t xml:space="preserve">«Nell’ambito del piano, le amministrazioni pubbliche curano l’ottimale distribuzione delle risorse umane attraverso la </w:t>
      </w:r>
      <w:r w:rsidRPr="00853781">
        <w:rPr>
          <w:rFonts w:eastAsia="Calibri" w:cstheme="minorHAnsi"/>
          <w:b/>
          <w:i/>
          <w:color w:val="002060"/>
        </w:rPr>
        <w:t>coordinata attuazione dei processi di mobilità e di reclutamento del personale</w:t>
      </w:r>
      <w:r w:rsidRPr="00853781">
        <w:rPr>
          <w:rFonts w:eastAsia="Calibri" w:cstheme="minorHAnsi"/>
          <w:i/>
          <w:color w:val="002060"/>
        </w:rPr>
        <w:t>, anche con riferimento alle unità di cui all'articolo 35, comma 2».</w:t>
      </w:r>
    </w:p>
    <w:p w14:paraId="072818D6" w14:textId="77777777" w:rsidR="006E18A7" w:rsidRPr="00853781" w:rsidRDefault="006E18A7" w:rsidP="006E18A7">
      <w:pPr>
        <w:spacing w:before="240" w:after="240"/>
        <w:rPr>
          <w:rFonts w:eastAsia="Calibri" w:cstheme="minorHAnsi"/>
          <w:color w:val="002060"/>
        </w:rPr>
      </w:pPr>
      <w:r w:rsidRPr="00853781">
        <w:rPr>
          <w:rFonts w:eastAsia="Calibri" w:cstheme="minorHAnsi"/>
          <w:color w:val="002060"/>
        </w:rPr>
        <w:t>Prima di avviare la procedura di reclutamento del personale finalizzate alla copertura di posti in organico, gli Ordini dovranno rendere pubbliche le vacanze di organico che possono coprire tramite passaggio diretto osservando le procedure di mobilità che, in prima battuta, possono distinguersi nella</w:t>
      </w:r>
      <w:r w:rsidRPr="00853781">
        <w:rPr>
          <w:rFonts w:eastAsia="Calibri" w:cstheme="minorHAnsi"/>
          <w:b/>
          <w:color w:val="002060"/>
        </w:rPr>
        <w:t xml:space="preserve"> mobilità volontaria</w:t>
      </w:r>
      <w:r w:rsidRPr="00853781">
        <w:rPr>
          <w:rFonts w:eastAsia="Calibri" w:cstheme="minorHAnsi"/>
          <w:color w:val="002060"/>
        </w:rPr>
        <w:t xml:space="preserve">, disciplinata dall’art. 30 del d.lgs. n. 165/2001[1], e nell’istituto della mobilità “per ricollocazione”, previsto dagli artt. 33 ss. del medesimo decreto, anche detta mobilità </w:t>
      </w:r>
      <w:r w:rsidRPr="00853781">
        <w:rPr>
          <w:rFonts w:eastAsia="Calibri" w:cstheme="minorHAnsi"/>
          <w:b/>
          <w:color w:val="002060"/>
        </w:rPr>
        <w:t>obbligatoria</w:t>
      </w:r>
      <w:r w:rsidRPr="00853781">
        <w:rPr>
          <w:rFonts w:eastAsia="Calibri" w:cstheme="minorHAnsi"/>
          <w:color w:val="002060"/>
        </w:rPr>
        <w:t xml:space="preserve"> (per distinguerla dalla prima)</w:t>
      </w:r>
      <w:r w:rsidRPr="00853781">
        <w:rPr>
          <w:rFonts w:eastAsia="Calibri" w:cstheme="minorHAnsi"/>
          <w:color w:val="002060"/>
          <w:vertAlign w:val="superscript"/>
        </w:rPr>
        <w:footnoteReference w:id="4"/>
      </w:r>
      <w:r w:rsidRPr="00853781">
        <w:rPr>
          <w:rFonts w:eastAsia="Calibri" w:cstheme="minorHAnsi"/>
          <w:color w:val="002060"/>
        </w:rPr>
        <w:t>.</w:t>
      </w:r>
    </w:p>
    <w:p w14:paraId="284D6FBC" w14:textId="77777777" w:rsidR="006E18A7" w:rsidRPr="00853781" w:rsidRDefault="006E18A7" w:rsidP="006E18A7">
      <w:pPr>
        <w:spacing w:before="240" w:after="240"/>
        <w:rPr>
          <w:rFonts w:eastAsia="Calibri" w:cstheme="minorHAnsi"/>
          <w:color w:val="002060"/>
        </w:rPr>
      </w:pPr>
      <w:r w:rsidRPr="00853781">
        <w:rPr>
          <w:rFonts w:eastAsia="Calibri" w:cstheme="minorHAnsi"/>
          <w:color w:val="002060"/>
        </w:rPr>
        <w:t xml:space="preserve">Nel corso degli anni il legislatore ha introdotto nell’ordinamento giuridico norme tese a rafforzare il ruolo della mobilità nei processi di reclutamento del personale e di riforma delle strutture amministrative pubbliche. In linea generale, nell’ambito del reclutamento di nuove unità di personale viene codificato il </w:t>
      </w:r>
      <w:r w:rsidRPr="00853781">
        <w:rPr>
          <w:rFonts w:eastAsia="Calibri" w:cstheme="minorHAnsi"/>
          <w:b/>
          <w:color w:val="002060"/>
        </w:rPr>
        <w:t>principio di prevalenza della procedura di mobilità rispetto alle ordinarie misure di reclutamento</w:t>
      </w:r>
      <w:r w:rsidRPr="00853781">
        <w:rPr>
          <w:rFonts w:eastAsia="Calibri" w:cstheme="minorHAnsi"/>
          <w:color w:val="002060"/>
        </w:rPr>
        <w:t xml:space="preserve"> (pubblico concorso).</w:t>
      </w:r>
    </w:p>
    <w:p w14:paraId="6A394045" w14:textId="77777777" w:rsidR="006E18A7" w:rsidRPr="00853781" w:rsidRDefault="006E18A7" w:rsidP="006E18A7">
      <w:pPr>
        <w:spacing w:before="240" w:after="240"/>
        <w:ind w:left="700"/>
        <w:rPr>
          <w:rFonts w:eastAsia="Calibri" w:cstheme="minorHAnsi"/>
          <w:color w:val="002060"/>
        </w:rPr>
      </w:pPr>
      <w:r w:rsidRPr="00853781">
        <w:rPr>
          <w:rFonts w:eastAsia="Calibri" w:cstheme="minorHAnsi"/>
          <w:color w:val="002060"/>
        </w:rPr>
        <w:t>Secondo l’attuale formulazione del predetto art. 30, comma 2-bis, “</w:t>
      </w:r>
      <w:r w:rsidRPr="00853781">
        <w:rPr>
          <w:rFonts w:eastAsia="Calibri" w:cstheme="minorHAnsi"/>
          <w:i/>
          <w:color w:val="002060"/>
          <w:highlight w:val="white"/>
        </w:rPr>
        <w:t>Le amministrazioni,</w:t>
      </w:r>
      <w:r w:rsidRPr="00853781">
        <w:rPr>
          <w:rFonts w:eastAsia="Calibri" w:cstheme="minorHAnsi"/>
          <w:b/>
          <w:i/>
          <w:color w:val="002060"/>
          <w:highlight w:val="white"/>
        </w:rPr>
        <w:t xml:space="preserve"> prima di procedere  all'espletamento  di procedure concorsuali,</w:t>
      </w:r>
      <w:r w:rsidRPr="00853781">
        <w:rPr>
          <w:rFonts w:eastAsia="Calibri" w:cstheme="minorHAnsi"/>
          <w:i/>
          <w:color w:val="002060"/>
          <w:highlight w:val="white"/>
        </w:rPr>
        <w:t xml:space="preserve"> finalizzate alla copertura di posti vacanti in organico, devono attivare le procedure di mobilità di cui  al  comma 1, </w:t>
      </w:r>
      <w:r w:rsidRPr="00853781">
        <w:rPr>
          <w:rFonts w:eastAsia="Calibri" w:cstheme="minorHAnsi"/>
          <w:i/>
          <w:color w:val="002060"/>
          <w:highlight w:val="white"/>
        </w:rPr>
        <w:lastRenderedPageBreak/>
        <w:t>provvedendo, in  via  prioritaria,  all'immissione  in  ruolo  dei dipendenti, provenienti da altre  amministrazioni,  in  posizione  di comando o di fuori ruolo, appartenenti alla stessa  area  funzionale, che facciano domanda di trasferimento nei ruoli delle amministrazioni in cui prestano servizio</w:t>
      </w:r>
      <w:r w:rsidRPr="00853781">
        <w:rPr>
          <w:rFonts w:eastAsia="Calibri" w:cstheme="minorHAnsi"/>
          <w:i/>
          <w:color w:val="002060"/>
        </w:rPr>
        <w:t>”</w:t>
      </w:r>
      <w:r w:rsidRPr="00853781">
        <w:rPr>
          <w:rFonts w:eastAsia="Calibri" w:cstheme="minorHAnsi"/>
          <w:color w:val="002060"/>
        </w:rPr>
        <w:t>.</w:t>
      </w:r>
    </w:p>
    <w:p w14:paraId="316380A4" w14:textId="77777777" w:rsidR="006E18A7" w:rsidRPr="00853781" w:rsidRDefault="006E18A7" w:rsidP="006E18A7">
      <w:pPr>
        <w:shd w:val="clear" w:color="auto" w:fill="FFFFFF"/>
        <w:spacing w:before="240" w:after="240"/>
        <w:rPr>
          <w:rFonts w:eastAsia="Calibri" w:cstheme="minorHAnsi"/>
          <w:color w:val="002060"/>
        </w:rPr>
      </w:pPr>
      <w:r w:rsidRPr="00853781">
        <w:rPr>
          <w:rFonts w:eastAsia="Calibri" w:cstheme="minorHAnsi"/>
          <w:color w:val="002060"/>
        </w:rPr>
        <w:t xml:space="preserve">Un’importante innovazione nella disciplina della mobilità volontaria è stata recentemente introdotta con l’intento di accelerare le procedure di assunzione del personale. Con la </w:t>
      </w:r>
      <w:r w:rsidRPr="00853781">
        <w:rPr>
          <w:rFonts w:eastAsia="Calibri" w:cstheme="minorHAnsi"/>
          <w:b/>
          <w:color w:val="002060"/>
        </w:rPr>
        <w:t>legge 19 giugno 2019, n. 56,</w:t>
      </w:r>
      <w:r w:rsidRPr="00853781">
        <w:rPr>
          <w:rFonts w:eastAsia="Calibri" w:cstheme="minorHAnsi"/>
          <w:color w:val="002060"/>
        </w:rPr>
        <w:t xml:space="preserve"> rubricata </w:t>
      </w:r>
      <w:r w:rsidRPr="00853781">
        <w:rPr>
          <w:rFonts w:eastAsia="Calibri" w:cstheme="minorHAnsi"/>
          <w:i/>
          <w:color w:val="002060"/>
        </w:rPr>
        <w:t>Interventi per la concretezza delle azioni delle pubbliche amministrazioni e la prevenzione dell'assenteismo</w:t>
      </w:r>
      <w:r w:rsidRPr="00853781">
        <w:rPr>
          <w:rFonts w:eastAsia="Calibri" w:cstheme="minorHAnsi"/>
          <w:color w:val="002060"/>
        </w:rPr>
        <w:t xml:space="preserve">, </w:t>
      </w:r>
      <w:r w:rsidRPr="00853781">
        <w:rPr>
          <w:rFonts w:eastAsia="Calibri" w:cstheme="minorHAnsi"/>
          <w:b/>
          <w:color w:val="002060"/>
        </w:rPr>
        <w:t>all’art. 3, co. 8</w:t>
      </w:r>
      <w:r w:rsidRPr="00853781">
        <w:rPr>
          <w:rFonts w:eastAsia="Calibri" w:cstheme="minorHAnsi"/>
          <w:color w:val="002060"/>
        </w:rPr>
        <w:t>, è stato previsto che:</w:t>
      </w:r>
    </w:p>
    <w:p w14:paraId="514AEACB" w14:textId="77777777" w:rsidR="006E18A7" w:rsidRPr="00853781" w:rsidRDefault="006E18A7" w:rsidP="006E18A7">
      <w:pPr>
        <w:shd w:val="clear" w:color="auto" w:fill="FFFFFF"/>
        <w:spacing w:before="240" w:after="240"/>
        <w:ind w:left="700"/>
        <w:rPr>
          <w:rFonts w:eastAsia="Calibri" w:cstheme="minorHAnsi"/>
          <w:color w:val="002060"/>
        </w:rPr>
      </w:pPr>
      <w:r w:rsidRPr="00853781">
        <w:rPr>
          <w:rFonts w:eastAsia="Calibri" w:cstheme="minorHAnsi"/>
          <w:color w:val="002060"/>
        </w:rPr>
        <w:t>“</w:t>
      </w:r>
      <w:r w:rsidRPr="00853781">
        <w:rPr>
          <w:rFonts w:eastAsia="Calibri" w:cstheme="minorHAnsi"/>
          <w:i/>
          <w:color w:val="002060"/>
        </w:rPr>
        <w:t xml:space="preserve">Fatto salvo quanto stabilito dall'articolo 1, comma  399,  della legge 30 dicembre 2018, n. 145, al fine di ridurre i tempi di accesso al pubblico impiego, </w:t>
      </w:r>
      <w:r w:rsidRPr="00853781">
        <w:rPr>
          <w:rFonts w:eastAsia="Calibri" w:cstheme="minorHAnsi"/>
          <w:b/>
          <w:i/>
          <w:color w:val="002060"/>
        </w:rPr>
        <w:t>nel triennio 2019-2021</w:t>
      </w:r>
      <w:r w:rsidRPr="00853781">
        <w:rPr>
          <w:rFonts w:eastAsia="Calibri" w:cstheme="minorHAnsi"/>
          <w:i/>
          <w:color w:val="002060"/>
        </w:rPr>
        <w:t xml:space="preserve">, le procedure concorsuali bandite dalle pubbliche amministrazioni di cui all'articolo 1,  comma 2, del decreto legislativo 30 marzo 2001, n. 165,  e  le  conseguenti assunzioni </w:t>
      </w:r>
      <w:r w:rsidRPr="00853781">
        <w:rPr>
          <w:rFonts w:eastAsia="Calibri" w:cstheme="minorHAnsi"/>
          <w:b/>
          <w:i/>
          <w:color w:val="002060"/>
        </w:rPr>
        <w:t>possono essere  effettuate  senza  il  previo  svolgimento delle  procedure  previste  dall'articolo  30  del  medesimo  decreto legislativo n. 165 del 2001</w:t>
      </w:r>
      <w:r w:rsidRPr="00853781">
        <w:rPr>
          <w:rFonts w:eastAsia="Calibri" w:cstheme="minorHAnsi"/>
          <w:b/>
          <w:color w:val="002060"/>
        </w:rPr>
        <w:t>”.</w:t>
      </w:r>
    </w:p>
    <w:p w14:paraId="421E5812" w14:textId="77777777" w:rsidR="006E18A7" w:rsidRPr="00853781" w:rsidRDefault="006E18A7" w:rsidP="006E18A7">
      <w:pPr>
        <w:shd w:val="clear" w:color="auto" w:fill="FFFFFF"/>
        <w:spacing w:before="240" w:after="0"/>
        <w:rPr>
          <w:rFonts w:eastAsia="Calibri" w:cstheme="minorHAnsi"/>
          <w:color w:val="002060"/>
        </w:rPr>
      </w:pPr>
      <w:r w:rsidRPr="00853781">
        <w:rPr>
          <w:rFonts w:eastAsia="Calibri" w:cstheme="minorHAnsi"/>
          <w:color w:val="002060"/>
        </w:rPr>
        <w:t xml:space="preserve">Dunque, per il triennio 2019/2020/2021 sussiste la possibilità di </w:t>
      </w:r>
      <w:r w:rsidRPr="00853781">
        <w:rPr>
          <w:rFonts w:eastAsia="Calibri" w:cstheme="minorHAnsi"/>
          <w:b/>
          <w:color w:val="002060"/>
        </w:rPr>
        <w:t>derogare</w:t>
      </w:r>
      <w:r w:rsidRPr="00853781">
        <w:rPr>
          <w:rFonts w:eastAsia="Calibri" w:cstheme="minorHAnsi"/>
          <w:color w:val="002060"/>
        </w:rPr>
        <w:t xml:space="preserve"> alla procedura di cui all’art. 30 del d.lgs. n. 165/2001, relativa alla mobilità volontaria, mentre </w:t>
      </w:r>
      <w:r w:rsidRPr="00853781">
        <w:rPr>
          <w:rFonts w:eastAsia="Calibri" w:cstheme="minorHAnsi"/>
          <w:b/>
          <w:color w:val="002060"/>
        </w:rPr>
        <w:t>resta fermo, invece, l’obbligo di dar corso alla mobilità obbligatoria</w:t>
      </w:r>
      <w:r w:rsidRPr="00853781">
        <w:rPr>
          <w:rFonts w:eastAsia="Calibri" w:cstheme="minorHAnsi"/>
          <w:color w:val="002060"/>
        </w:rPr>
        <w:t>, finalizzata a ricollocare il personale in disponibilità, prima dell’avvio di procedure concorsuali e di nuove assunzioni.</w:t>
      </w:r>
    </w:p>
    <w:p w14:paraId="21257AB7" w14:textId="77777777" w:rsidR="006E18A7" w:rsidRPr="00853781" w:rsidRDefault="006E18A7" w:rsidP="006E18A7">
      <w:pPr>
        <w:shd w:val="clear" w:color="auto" w:fill="FFFFFF"/>
        <w:spacing w:after="240"/>
        <w:rPr>
          <w:rFonts w:eastAsia="Calibri" w:cstheme="minorHAnsi"/>
          <w:color w:val="002060"/>
        </w:rPr>
      </w:pPr>
      <w:r w:rsidRPr="00853781">
        <w:rPr>
          <w:rFonts w:eastAsia="Calibri" w:cstheme="minorHAnsi"/>
          <w:color w:val="002060"/>
        </w:rPr>
        <w:t>Definita la mobilità obbligatoria e volontaria, le procedure di reclutamento dovranno essere avviate, nel rispetto dell’art. 35 del citato d.lgs., per il quale:</w:t>
      </w:r>
    </w:p>
    <w:p w14:paraId="35E17F98" w14:textId="77777777" w:rsidR="006E18A7" w:rsidRPr="00853781" w:rsidRDefault="006E18A7" w:rsidP="006E18A7">
      <w:pPr>
        <w:shd w:val="clear" w:color="auto" w:fill="FFFFFF"/>
        <w:spacing w:before="240" w:after="0"/>
        <w:ind w:left="700"/>
        <w:rPr>
          <w:rFonts w:eastAsia="Calibri" w:cstheme="minorHAnsi"/>
          <w:color w:val="002060"/>
        </w:rPr>
      </w:pPr>
      <w:r w:rsidRPr="00853781">
        <w:rPr>
          <w:rFonts w:eastAsia="Calibri" w:cstheme="minorHAnsi"/>
          <w:i/>
          <w:color w:val="002060"/>
        </w:rPr>
        <w:t>1.  L’assunzione nelle amministrazioni pubbliche   avviene   con contratto individuale di lavoro:</w:t>
      </w:r>
    </w:p>
    <w:p w14:paraId="26E8BE24" w14:textId="77777777" w:rsidR="006E18A7" w:rsidRPr="00853781" w:rsidRDefault="006E18A7" w:rsidP="006E18A7">
      <w:pPr>
        <w:shd w:val="clear" w:color="auto" w:fill="FFFFFF"/>
        <w:spacing w:after="0"/>
        <w:ind w:left="700"/>
        <w:rPr>
          <w:rFonts w:eastAsia="Calibri" w:cstheme="minorHAnsi"/>
          <w:color w:val="002060"/>
        </w:rPr>
      </w:pPr>
      <w:r w:rsidRPr="00853781">
        <w:rPr>
          <w:rFonts w:eastAsia="Calibri" w:cstheme="minorHAnsi"/>
          <w:i/>
          <w:color w:val="002060"/>
        </w:rPr>
        <w:t>  a) tramite procedure selettive, conformi ai principi del comma 3, volte all’accertamento   della   professionalità   richiesta, che garantiscano in misura adeguata l'accesso dall'esterno;</w:t>
      </w:r>
    </w:p>
    <w:p w14:paraId="49D32F56" w14:textId="77777777" w:rsidR="006E18A7" w:rsidRPr="00853781" w:rsidRDefault="006E18A7" w:rsidP="006E18A7">
      <w:pPr>
        <w:shd w:val="clear" w:color="auto" w:fill="FFFFFF"/>
        <w:spacing w:after="240"/>
        <w:ind w:left="700"/>
        <w:rPr>
          <w:rFonts w:eastAsia="Calibri" w:cstheme="minorHAnsi"/>
          <w:color w:val="002060"/>
        </w:rPr>
      </w:pPr>
      <w:r w:rsidRPr="00853781">
        <w:rPr>
          <w:rFonts w:eastAsia="Calibri" w:cstheme="minorHAnsi"/>
          <w:i/>
          <w:color w:val="002060"/>
        </w:rPr>
        <w:t>  b) mediante avviamento degli iscritti nelle liste di collocamento ai sensi della legislazione vigente per le qualifiche e profili per i quali è richiesto il solo requisito della scuola dell’obbligo, facendo salvi gli eventuali ulteriori requisiti per specifiche professionalità».</w:t>
      </w:r>
    </w:p>
    <w:p w14:paraId="45CBE24A" w14:textId="77777777" w:rsidR="006E18A7" w:rsidRPr="00853781" w:rsidRDefault="006E18A7" w:rsidP="006E18A7">
      <w:pPr>
        <w:shd w:val="clear" w:color="auto" w:fill="FFFFFF"/>
        <w:spacing w:before="240" w:after="240"/>
        <w:rPr>
          <w:rFonts w:eastAsia="Calibri" w:cstheme="minorHAnsi"/>
          <w:color w:val="002060"/>
        </w:rPr>
      </w:pPr>
      <w:r w:rsidRPr="00853781">
        <w:rPr>
          <w:rFonts w:eastAsia="Calibri" w:cstheme="minorHAnsi"/>
          <w:color w:val="002060"/>
        </w:rPr>
        <w:t>Invero, l’art 35 non è altro che la specificazione della regola generale secondo cui l’accesso alla p.a. è costituita dal concorso pubblico, così come dispone la Costituzione all’art. 97, comma 4:</w:t>
      </w:r>
    </w:p>
    <w:p w14:paraId="39B507E0" w14:textId="77777777" w:rsidR="006E18A7" w:rsidRPr="00853781" w:rsidRDefault="006E18A7" w:rsidP="006E18A7">
      <w:pPr>
        <w:shd w:val="clear" w:color="auto" w:fill="FFFFFF"/>
        <w:spacing w:before="240" w:after="240"/>
        <w:ind w:left="360"/>
        <w:rPr>
          <w:rFonts w:eastAsia="Calibri" w:cstheme="minorHAnsi"/>
          <w:b/>
          <w:color w:val="002060"/>
        </w:rPr>
      </w:pPr>
      <w:r w:rsidRPr="00853781">
        <w:rPr>
          <w:rFonts w:eastAsia="Calibri" w:cstheme="minorHAnsi"/>
          <w:i/>
          <w:color w:val="002060"/>
        </w:rPr>
        <w:t>«agli impieghi nelle pubbliche amministrazioni si accede mediante concorso, salvi i casi stabiliti dalla legge»</w:t>
      </w:r>
      <w:r w:rsidRPr="00853781">
        <w:rPr>
          <w:rFonts w:eastAsia="Calibri" w:cstheme="minorHAnsi"/>
          <w:b/>
          <w:color w:val="002060"/>
        </w:rPr>
        <w:t>.</w:t>
      </w:r>
    </w:p>
    <w:p w14:paraId="70FBF1CA" w14:textId="77777777" w:rsidR="006E18A7" w:rsidRPr="00853781" w:rsidRDefault="006E18A7" w:rsidP="006E18A7">
      <w:pPr>
        <w:shd w:val="clear" w:color="auto" w:fill="FFFFFF"/>
        <w:spacing w:before="240" w:after="240"/>
        <w:rPr>
          <w:rFonts w:eastAsia="Calibri" w:cstheme="minorHAnsi"/>
          <w:color w:val="002060"/>
        </w:rPr>
      </w:pPr>
      <w:r w:rsidRPr="00853781">
        <w:rPr>
          <w:rFonts w:eastAsia="Calibri" w:cstheme="minorHAnsi"/>
          <w:color w:val="002060"/>
        </w:rPr>
        <w:t>Ai fini dell’applicazione del principio di razionalizzazione della spesa e di efficienza della pubblica amministrazione, per cui prima di avviare qualsiasi procedure di reclutamento occorre dar attuazione ai processi di mobilità del personale proveniente da altra pubblica amministrazione,</w:t>
      </w:r>
      <w:r w:rsidRPr="00853781">
        <w:rPr>
          <w:rFonts w:eastAsia="Calibri" w:cstheme="minorHAnsi"/>
          <w:b/>
          <w:color w:val="002060"/>
        </w:rPr>
        <w:t xml:space="preserve"> il Collegio reputa rilevante, per ragioni di speditezza, far ricorso alla deroga prevista dalla citata </w:t>
      </w:r>
      <w:r w:rsidRPr="00853781">
        <w:rPr>
          <w:rFonts w:eastAsia="Calibri" w:cstheme="minorHAnsi"/>
          <w:b/>
          <w:color w:val="002060"/>
        </w:rPr>
        <w:lastRenderedPageBreak/>
        <w:t>legge 19 giugno 2019, n. 56, per cui l’assunzione della nuova unità di personale avverrà direttamente mediante concorso pubblico.</w:t>
      </w:r>
    </w:p>
    <w:p w14:paraId="6C3E1195" w14:textId="77777777" w:rsidR="006E18A7" w:rsidRPr="00853781" w:rsidRDefault="006E18A7" w:rsidP="006E18A7">
      <w:pPr>
        <w:rPr>
          <w:rFonts w:eastAsia="Calibri" w:cstheme="minorHAnsi"/>
          <w:color w:val="002060"/>
        </w:rPr>
      </w:pPr>
    </w:p>
    <w:p w14:paraId="64EEFB88" w14:textId="01F7AB71" w:rsidR="006E18A7" w:rsidRPr="00853781" w:rsidRDefault="006E18A7" w:rsidP="0034460E">
      <w:pPr>
        <w:pStyle w:val="Titolo1"/>
        <w:numPr>
          <w:ilvl w:val="0"/>
          <w:numId w:val="3"/>
        </w:numPr>
        <w:spacing w:after="240"/>
        <w:rPr>
          <w:rFonts w:asciiTheme="minorHAnsi" w:eastAsia="Calibri" w:hAnsiTheme="minorHAnsi" w:cstheme="minorHAnsi"/>
          <w:b/>
          <w:bCs/>
          <w:color w:val="002060"/>
          <w:u w:val="single"/>
        </w:rPr>
      </w:pPr>
      <w:r w:rsidRPr="00853781">
        <w:rPr>
          <w:rFonts w:asciiTheme="minorHAnsi" w:eastAsia="Calibri" w:hAnsiTheme="minorHAnsi" w:cstheme="minorHAnsi"/>
          <w:b/>
          <w:bCs/>
          <w:color w:val="002060"/>
          <w:u w:val="single"/>
        </w:rPr>
        <w:t>Conformità alla normativa vigente</w:t>
      </w:r>
    </w:p>
    <w:p w14:paraId="3F346F57" w14:textId="77777777" w:rsidR="006E18A7" w:rsidRPr="00853781" w:rsidRDefault="006E18A7" w:rsidP="006E18A7">
      <w:pPr>
        <w:rPr>
          <w:rFonts w:eastAsia="Calibri" w:cstheme="minorHAnsi"/>
          <w:color w:val="002060"/>
        </w:rPr>
      </w:pPr>
      <w:r w:rsidRPr="00853781">
        <w:rPr>
          <w:rFonts w:eastAsia="Calibri" w:cstheme="minorHAnsi"/>
          <w:color w:val="002060"/>
        </w:rPr>
        <w:t>Si riportano di seguito le principali disposizioni normative in tema assunzionale, suddivise per tema di riferimento, applicabili al Collegio nonché le eventuali azioni derivanti:</w:t>
      </w:r>
    </w:p>
    <w:p w14:paraId="59A03BC3" w14:textId="77777777" w:rsidR="006E18A7" w:rsidRPr="00853781" w:rsidRDefault="006E18A7" w:rsidP="006E18A7">
      <w:pPr>
        <w:rPr>
          <w:rFonts w:eastAsia="Calibri" w:cstheme="minorHAnsi"/>
          <w:b/>
          <w:color w:val="002060"/>
        </w:rPr>
      </w:pPr>
      <w:r w:rsidRPr="00853781">
        <w:rPr>
          <w:rFonts w:eastAsia="Calibri" w:cstheme="minorHAnsi"/>
          <w:b/>
          <w:color w:val="002060"/>
        </w:rPr>
        <w:t>Tema: eccedenze di personale</w:t>
      </w:r>
    </w:p>
    <w:p w14:paraId="73219BE7" w14:textId="77777777" w:rsidR="006E18A7" w:rsidRPr="00853781" w:rsidRDefault="006E18A7" w:rsidP="006E18A7">
      <w:pPr>
        <w:rPr>
          <w:rFonts w:eastAsia="Calibri" w:cstheme="minorHAnsi"/>
          <w:color w:val="002060"/>
        </w:rPr>
      </w:pPr>
      <w:r w:rsidRPr="00853781">
        <w:rPr>
          <w:rFonts w:eastAsia="Calibri" w:cstheme="minorHAnsi"/>
          <w:b/>
          <w:color w:val="002060"/>
        </w:rPr>
        <w:t>Normativa: art. 33 D.lgs. n. 165/2001</w:t>
      </w:r>
      <w:r w:rsidRPr="00853781">
        <w:rPr>
          <w:rFonts w:eastAsia="Calibri" w:cstheme="minorHAnsi"/>
          <w:color w:val="002060"/>
        </w:rPr>
        <w:t xml:space="preserve"> </w:t>
      </w:r>
    </w:p>
    <w:p w14:paraId="6B66D49E" w14:textId="77777777" w:rsidR="006E18A7" w:rsidRPr="00853781" w:rsidRDefault="006E18A7" w:rsidP="006E18A7">
      <w:pPr>
        <w:rPr>
          <w:rFonts w:eastAsia="Calibri" w:cstheme="minorHAnsi"/>
          <w:color w:val="002060"/>
        </w:rPr>
      </w:pPr>
      <w:r w:rsidRPr="00853781">
        <w:rPr>
          <w:rFonts w:eastAsia="Calibri" w:cstheme="minorHAnsi"/>
          <w:color w:val="002060"/>
        </w:rPr>
        <w:t xml:space="preserve">L’art. 33 del citato D.lgs. n. 165/2001 impone alle pubbliche amministrazioni che rilevino, anche in sede di ricognizione annuale, eccedenze di personale rispetto alle esigenze funzionali, di attivare tutte le procedure previste per la ricollocazione del personale. </w:t>
      </w:r>
    </w:p>
    <w:p w14:paraId="62F79A39" w14:textId="77777777" w:rsidR="006E18A7" w:rsidRPr="00853781" w:rsidRDefault="006E18A7" w:rsidP="006E18A7">
      <w:pPr>
        <w:ind w:left="720"/>
        <w:rPr>
          <w:rFonts w:eastAsia="Calibri" w:cstheme="minorHAnsi"/>
          <w:color w:val="002060"/>
        </w:rPr>
      </w:pPr>
      <w:r w:rsidRPr="00853781">
        <w:rPr>
          <w:rFonts w:eastAsia="Calibri" w:cstheme="minorHAnsi"/>
          <w:b/>
          <w:color w:val="002060"/>
        </w:rPr>
        <w:t xml:space="preserve">Azioni: </w:t>
      </w:r>
      <w:r w:rsidRPr="00853781">
        <w:rPr>
          <w:rFonts w:eastAsia="Calibri" w:cstheme="minorHAnsi"/>
          <w:color w:val="002060"/>
        </w:rPr>
        <w:t xml:space="preserve">in relazione alle “esigenze funzionali” della struttura </w:t>
      </w:r>
      <w:r w:rsidRPr="00853781">
        <w:rPr>
          <w:rFonts w:eastAsia="Calibri" w:cstheme="minorHAnsi"/>
          <w:b/>
          <w:color w:val="002060"/>
        </w:rPr>
        <w:t>non sussistono condizioni di eccedenze di personale</w:t>
      </w:r>
      <w:r w:rsidRPr="00853781">
        <w:rPr>
          <w:rFonts w:eastAsia="Calibri" w:cstheme="minorHAnsi"/>
          <w:color w:val="002060"/>
        </w:rPr>
        <w:t xml:space="preserve"> per cui non sussiste l’esigenza di ricollocazione del personale all’interno struttura, né di attivare le procedure previste dal citato art. 33 del D.lgs. 165/2001.</w:t>
      </w:r>
    </w:p>
    <w:p w14:paraId="4FE45B0B" w14:textId="77777777" w:rsidR="006E18A7" w:rsidRPr="00853781" w:rsidRDefault="006E18A7" w:rsidP="006E18A7">
      <w:pPr>
        <w:ind w:left="720"/>
        <w:rPr>
          <w:rFonts w:eastAsia="Calibri" w:cstheme="minorHAnsi"/>
          <w:color w:val="002060"/>
        </w:rPr>
      </w:pPr>
    </w:p>
    <w:p w14:paraId="068582C7" w14:textId="77777777" w:rsidR="006E18A7" w:rsidRPr="00853781" w:rsidRDefault="006E18A7" w:rsidP="006E18A7">
      <w:pPr>
        <w:rPr>
          <w:rFonts w:eastAsia="Calibri" w:cstheme="minorHAnsi"/>
          <w:b/>
          <w:color w:val="002060"/>
        </w:rPr>
      </w:pPr>
      <w:r w:rsidRPr="00853781">
        <w:rPr>
          <w:rFonts w:eastAsia="Calibri" w:cstheme="minorHAnsi"/>
          <w:b/>
          <w:color w:val="002060"/>
        </w:rPr>
        <w:t>Tema: ricambio generazionale</w:t>
      </w:r>
    </w:p>
    <w:p w14:paraId="4AF6AE3C" w14:textId="77777777" w:rsidR="006E18A7" w:rsidRPr="00853781" w:rsidRDefault="006E18A7" w:rsidP="006E18A7">
      <w:pPr>
        <w:rPr>
          <w:rFonts w:eastAsia="Calibri" w:cstheme="minorHAnsi"/>
          <w:b/>
          <w:color w:val="002060"/>
        </w:rPr>
      </w:pPr>
      <w:r w:rsidRPr="00853781">
        <w:rPr>
          <w:rFonts w:eastAsia="Calibri" w:cstheme="minorHAnsi"/>
          <w:b/>
          <w:color w:val="002060"/>
        </w:rPr>
        <w:t>Normativa: art. 3, co 2, L. 56/2019</w:t>
      </w:r>
    </w:p>
    <w:p w14:paraId="7487187F" w14:textId="77777777" w:rsidR="006E18A7" w:rsidRPr="00853781" w:rsidRDefault="006E18A7" w:rsidP="006E18A7">
      <w:pPr>
        <w:rPr>
          <w:rFonts w:eastAsia="Calibri" w:cstheme="minorHAnsi"/>
          <w:color w:val="002060"/>
        </w:rPr>
      </w:pPr>
      <w:r w:rsidRPr="00853781">
        <w:rPr>
          <w:rFonts w:eastAsia="Calibri" w:cstheme="minorHAnsi"/>
          <w:color w:val="002060"/>
        </w:rPr>
        <w:t xml:space="preserve">L’articolo 3, comma 2, della L. 56/2019 dispone che, al fine di accrescere l’efficienza dell'organizzazione e dell'azione amministrativa, le amministrazioni, nella predisposizione del piano dei fabbisogni, tengono conto dell'esigenza di assicurare l’effettivo ricambio generazionale e la migliore organizzazione del lavoro, nonché, in via prioritaria, di </w:t>
      </w:r>
      <w:r w:rsidRPr="00853781">
        <w:rPr>
          <w:rFonts w:eastAsia="Calibri" w:cstheme="minorHAnsi"/>
          <w:b/>
          <w:color w:val="002060"/>
        </w:rPr>
        <w:t>reclutare figure professionali con elevate competenze</w:t>
      </w:r>
      <w:r w:rsidRPr="00853781">
        <w:rPr>
          <w:rFonts w:eastAsia="Calibri" w:cstheme="minorHAnsi"/>
          <w:color w:val="002060"/>
        </w:rPr>
        <w:t xml:space="preserve"> in materia di:</w:t>
      </w:r>
    </w:p>
    <w:p w14:paraId="7DC3C522" w14:textId="77777777" w:rsidR="006E18A7" w:rsidRPr="00853781" w:rsidRDefault="006E18A7" w:rsidP="006E18A7">
      <w:pPr>
        <w:spacing w:after="0"/>
        <w:ind w:left="720"/>
        <w:rPr>
          <w:rFonts w:eastAsia="Calibri" w:cstheme="minorHAnsi"/>
          <w:color w:val="002060"/>
        </w:rPr>
      </w:pPr>
      <w:r w:rsidRPr="00853781">
        <w:rPr>
          <w:rFonts w:eastAsia="Calibri" w:cstheme="minorHAnsi"/>
          <w:color w:val="002060"/>
        </w:rPr>
        <w:t xml:space="preserve">a) digitalizzazione; </w:t>
      </w:r>
    </w:p>
    <w:p w14:paraId="5A6E9313" w14:textId="77777777" w:rsidR="006E18A7" w:rsidRPr="00853781" w:rsidRDefault="006E18A7" w:rsidP="006E18A7">
      <w:pPr>
        <w:spacing w:after="0"/>
        <w:ind w:left="720"/>
        <w:rPr>
          <w:rFonts w:eastAsia="Calibri" w:cstheme="minorHAnsi"/>
          <w:color w:val="002060"/>
        </w:rPr>
      </w:pPr>
      <w:r w:rsidRPr="00853781">
        <w:rPr>
          <w:rFonts w:eastAsia="Calibri" w:cstheme="minorHAnsi"/>
          <w:color w:val="002060"/>
        </w:rPr>
        <w:t xml:space="preserve">b) razionalizzazione e semplificazione dei processi e dei procedimenti amministrativi; </w:t>
      </w:r>
    </w:p>
    <w:p w14:paraId="5F0D2521" w14:textId="77777777" w:rsidR="006E18A7" w:rsidRPr="00853781" w:rsidRDefault="006E18A7" w:rsidP="006E18A7">
      <w:pPr>
        <w:spacing w:after="0"/>
        <w:ind w:left="720"/>
        <w:rPr>
          <w:rFonts w:eastAsia="Calibri" w:cstheme="minorHAnsi"/>
          <w:color w:val="002060"/>
        </w:rPr>
      </w:pPr>
      <w:r w:rsidRPr="00853781">
        <w:rPr>
          <w:rFonts w:eastAsia="Calibri" w:cstheme="minorHAnsi"/>
          <w:color w:val="002060"/>
        </w:rPr>
        <w:t xml:space="preserve">c) qualità dei servizi pubblici; </w:t>
      </w:r>
    </w:p>
    <w:p w14:paraId="16564C0A" w14:textId="77777777" w:rsidR="006E18A7" w:rsidRPr="00853781" w:rsidRDefault="006E18A7" w:rsidP="006E18A7">
      <w:pPr>
        <w:spacing w:after="0"/>
        <w:ind w:left="720"/>
        <w:rPr>
          <w:rFonts w:eastAsia="Calibri" w:cstheme="minorHAnsi"/>
          <w:color w:val="002060"/>
        </w:rPr>
      </w:pPr>
      <w:r w:rsidRPr="00853781">
        <w:rPr>
          <w:rFonts w:eastAsia="Calibri" w:cstheme="minorHAnsi"/>
          <w:color w:val="002060"/>
        </w:rPr>
        <w:t xml:space="preserve">d) gestione dei fondi strutturali e della capacità di investimento; </w:t>
      </w:r>
    </w:p>
    <w:p w14:paraId="07AFE870" w14:textId="77777777" w:rsidR="006E18A7" w:rsidRPr="00853781" w:rsidRDefault="006E18A7" w:rsidP="006E18A7">
      <w:pPr>
        <w:spacing w:after="0"/>
        <w:ind w:left="720"/>
        <w:rPr>
          <w:rFonts w:eastAsia="Calibri" w:cstheme="minorHAnsi"/>
          <w:color w:val="002060"/>
        </w:rPr>
      </w:pPr>
      <w:r w:rsidRPr="00853781">
        <w:rPr>
          <w:rFonts w:eastAsia="Calibri" w:cstheme="minorHAnsi"/>
          <w:color w:val="002060"/>
        </w:rPr>
        <w:t xml:space="preserve">e) contrattualistica pubblica; </w:t>
      </w:r>
    </w:p>
    <w:p w14:paraId="0274CB23" w14:textId="77777777" w:rsidR="006E18A7" w:rsidRPr="00853781" w:rsidRDefault="006E18A7" w:rsidP="006E18A7">
      <w:pPr>
        <w:spacing w:after="0"/>
        <w:ind w:left="720"/>
        <w:rPr>
          <w:rFonts w:eastAsia="Calibri" w:cstheme="minorHAnsi"/>
          <w:color w:val="002060"/>
        </w:rPr>
      </w:pPr>
      <w:r w:rsidRPr="00853781">
        <w:rPr>
          <w:rFonts w:eastAsia="Calibri" w:cstheme="minorHAnsi"/>
          <w:color w:val="002060"/>
        </w:rPr>
        <w:t xml:space="preserve">f) controllo di gestione e attività ispettiva; </w:t>
      </w:r>
    </w:p>
    <w:p w14:paraId="55A1A4E7" w14:textId="77777777" w:rsidR="006E18A7" w:rsidRPr="00853781" w:rsidRDefault="006E18A7" w:rsidP="006E18A7">
      <w:pPr>
        <w:spacing w:after="0"/>
        <w:ind w:left="720"/>
        <w:rPr>
          <w:rFonts w:eastAsia="Calibri" w:cstheme="minorHAnsi"/>
          <w:color w:val="002060"/>
        </w:rPr>
      </w:pPr>
      <w:r w:rsidRPr="00853781">
        <w:rPr>
          <w:rFonts w:eastAsia="Calibri" w:cstheme="minorHAnsi"/>
          <w:color w:val="002060"/>
        </w:rPr>
        <w:t>g) contabilità pubblica e gestione finanziaria.</w:t>
      </w:r>
    </w:p>
    <w:p w14:paraId="35400BAF" w14:textId="77777777" w:rsidR="006E18A7" w:rsidRPr="00853781" w:rsidRDefault="006E18A7" w:rsidP="006E18A7">
      <w:pPr>
        <w:spacing w:after="0"/>
        <w:ind w:left="720"/>
        <w:rPr>
          <w:rFonts w:eastAsia="Calibri" w:cstheme="minorHAnsi"/>
          <w:color w:val="002060"/>
        </w:rPr>
      </w:pPr>
    </w:p>
    <w:p w14:paraId="750D1A47" w14:textId="77777777" w:rsidR="006E18A7" w:rsidRPr="00853781" w:rsidRDefault="006E18A7" w:rsidP="006E18A7">
      <w:pPr>
        <w:ind w:left="720"/>
        <w:rPr>
          <w:rFonts w:eastAsia="Calibri" w:cstheme="minorHAnsi"/>
          <w:color w:val="002060"/>
        </w:rPr>
      </w:pPr>
      <w:r w:rsidRPr="00853781">
        <w:rPr>
          <w:rFonts w:eastAsia="Calibri" w:cstheme="minorHAnsi"/>
          <w:b/>
          <w:color w:val="002060"/>
        </w:rPr>
        <w:t xml:space="preserve">Azioni: </w:t>
      </w:r>
      <w:r w:rsidRPr="00853781">
        <w:rPr>
          <w:rFonts w:eastAsia="Calibri" w:cstheme="minorHAnsi"/>
          <w:color w:val="002060"/>
        </w:rPr>
        <w:t>in relazione alle esigenze di ricambio generazionale il Collegio garantirà che il bando di selezione assicuri il reclutamento di personale con le competenze fissate dalla normativa.</w:t>
      </w:r>
    </w:p>
    <w:p w14:paraId="12B6109B" w14:textId="77777777" w:rsidR="006E18A7" w:rsidRPr="00853781" w:rsidRDefault="006E18A7" w:rsidP="006E18A7">
      <w:pPr>
        <w:ind w:left="720"/>
        <w:rPr>
          <w:rFonts w:eastAsia="Calibri" w:cstheme="minorHAnsi"/>
          <w:color w:val="002060"/>
        </w:rPr>
      </w:pPr>
    </w:p>
    <w:p w14:paraId="6DA7B2B1" w14:textId="77777777" w:rsidR="006E18A7" w:rsidRPr="00853781" w:rsidRDefault="006E18A7" w:rsidP="006E18A7">
      <w:pPr>
        <w:rPr>
          <w:rFonts w:eastAsia="Calibri" w:cstheme="minorHAnsi"/>
          <w:color w:val="002060"/>
        </w:rPr>
      </w:pPr>
      <w:r w:rsidRPr="00853781">
        <w:rPr>
          <w:rFonts w:eastAsia="Calibri" w:cstheme="minorHAnsi"/>
          <w:b/>
          <w:color w:val="002060"/>
        </w:rPr>
        <w:lastRenderedPageBreak/>
        <w:t>Tema: assunzioni obbligatorie categorie protette</w:t>
      </w:r>
    </w:p>
    <w:p w14:paraId="557F2CD5" w14:textId="77777777" w:rsidR="006E18A7" w:rsidRPr="00853781" w:rsidRDefault="006E18A7" w:rsidP="006E18A7">
      <w:pPr>
        <w:rPr>
          <w:rFonts w:eastAsia="Calibri" w:cstheme="minorHAnsi"/>
          <w:color w:val="002060"/>
        </w:rPr>
      </w:pPr>
      <w:r w:rsidRPr="00853781">
        <w:rPr>
          <w:rFonts w:eastAsia="Calibri" w:cstheme="minorHAnsi"/>
          <w:b/>
          <w:color w:val="002060"/>
        </w:rPr>
        <w:t>Normativa: Legge 68/1999 recanti “Norme per il diritto al lavoro dei disabili”, Dipartimento della Funzione Pubblica Direttiva n. 1 del 24 giugno 2019</w:t>
      </w:r>
    </w:p>
    <w:p w14:paraId="0AE7BD07" w14:textId="77777777" w:rsidR="006E18A7" w:rsidRPr="00853781" w:rsidRDefault="006E18A7" w:rsidP="006E18A7">
      <w:pPr>
        <w:rPr>
          <w:rFonts w:eastAsia="Calibri" w:cstheme="minorHAnsi"/>
          <w:color w:val="002060"/>
        </w:rPr>
      </w:pPr>
      <w:r w:rsidRPr="00853781">
        <w:rPr>
          <w:rFonts w:eastAsia="Calibri" w:cstheme="minorHAnsi"/>
          <w:color w:val="002060"/>
        </w:rPr>
        <w:t>La pubblica amministrazione è tenuta ad assumere persone con disabilità nella quota d’obbligo prevista dalla normativa e ad osservare precisi vincoli per effettuare le assunzioni in conformità a quanto previsto dall’art. 35 del d.lgs. n. 165/2001 in tema di procedure per le assunzioni presso le pubbliche amministrazioni.</w:t>
      </w:r>
    </w:p>
    <w:p w14:paraId="774B5A41" w14:textId="77777777" w:rsidR="006E18A7" w:rsidRPr="00853781" w:rsidRDefault="006E18A7" w:rsidP="006E18A7">
      <w:pPr>
        <w:rPr>
          <w:rFonts w:eastAsia="Calibri" w:cstheme="minorHAnsi"/>
          <w:color w:val="002060"/>
        </w:rPr>
      </w:pPr>
      <w:r w:rsidRPr="00853781">
        <w:rPr>
          <w:rFonts w:eastAsia="Calibri" w:cstheme="minorHAnsi"/>
          <w:color w:val="002060"/>
        </w:rPr>
        <w:t>L’art. 3 della legge 68/99 prevede che i datori di lavoro pubblici (come quelli privati) sono tenuti ad avere alle loro dipendenze lavoratori invalidi in determinate misure percentuali.</w:t>
      </w:r>
    </w:p>
    <w:p w14:paraId="20D26FF8" w14:textId="77777777" w:rsidR="006E18A7" w:rsidRPr="00853781" w:rsidRDefault="006E18A7" w:rsidP="006E18A7">
      <w:pPr>
        <w:ind w:left="720"/>
        <w:rPr>
          <w:rFonts w:eastAsia="Calibri" w:cstheme="minorHAnsi"/>
          <w:color w:val="002060"/>
        </w:rPr>
      </w:pPr>
      <w:r w:rsidRPr="00853781">
        <w:rPr>
          <w:rFonts w:eastAsia="Calibri" w:cstheme="minorHAnsi"/>
          <w:b/>
          <w:color w:val="002060"/>
        </w:rPr>
        <w:t xml:space="preserve">Azioni: </w:t>
      </w:r>
      <w:r w:rsidRPr="00853781">
        <w:rPr>
          <w:rFonts w:eastAsia="Calibri" w:cstheme="minorHAnsi"/>
          <w:color w:val="002060"/>
        </w:rPr>
        <w:t xml:space="preserve">il Collegio Geometri, in ottemperanza alle norme sulle assunzioni delle categorie protette, </w:t>
      </w:r>
      <w:r w:rsidRPr="00853781">
        <w:rPr>
          <w:rFonts w:eastAsia="Calibri" w:cstheme="minorHAnsi"/>
          <w:b/>
          <w:color w:val="002060"/>
        </w:rPr>
        <w:t>non è tenuto ad assunzioni obbligatorie</w:t>
      </w:r>
      <w:r w:rsidRPr="00853781">
        <w:rPr>
          <w:rFonts w:eastAsia="Calibri" w:cstheme="minorHAnsi"/>
          <w:color w:val="002060"/>
        </w:rPr>
        <w:t xml:space="preserve"> in quanto la dotazione organica di cui al presente piano di fabbisogno prevede soltanto una unità (art. 3 legge 68/1999).</w:t>
      </w:r>
    </w:p>
    <w:p w14:paraId="698B2CD8" w14:textId="77777777" w:rsidR="001A2AA8" w:rsidRPr="00853781" w:rsidRDefault="001A2AA8" w:rsidP="00F43B4B">
      <w:pPr>
        <w:ind w:left="720"/>
        <w:rPr>
          <w:rFonts w:eastAsia="Calibri" w:cstheme="minorHAnsi"/>
          <w:color w:val="002060"/>
        </w:rPr>
      </w:pPr>
    </w:p>
    <w:sectPr w:rsidR="001A2AA8" w:rsidRPr="00853781" w:rsidSect="00117C81">
      <w:pgSz w:w="11906" w:h="16838"/>
      <w:pgMar w:top="1701" w:right="1531" w:bottom="2552" w:left="153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7CCE1" w14:textId="77777777" w:rsidR="00B3703F" w:rsidRDefault="00B3703F" w:rsidP="009309F0">
      <w:pPr>
        <w:spacing w:after="0" w:line="240" w:lineRule="auto"/>
      </w:pPr>
      <w:r>
        <w:separator/>
      </w:r>
    </w:p>
  </w:endnote>
  <w:endnote w:type="continuationSeparator" w:id="0">
    <w:p w14:paraId="13FA687A" w14:textId="77777777" w:rsidR="00B3703F" w:rsidRDefault="00B3703F" w:rsidP="00930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92E29" w14:textId="77777777" w:rsidR="00117C81" w:rsidRDefault="00117C81">
    <w:pPr>
      <w:pStyle w:val="Pidipagina"/>
      <w:jc w:val="right"/>
    </w:pPr>
    <w:r>
      <w:rPr>
        <w:color w:val="4472C4" w:themeColor="accent1"/>
        <w:sz w:val="20"/>
        <w:szCs w:val="20"/>
      </w:rPr>
      <w:t xml:space="preserve">pag. </w:t>
    </w:r>
    <w:r>
      <w:rPr>
        <w:color w:val="4472C4" w:themeColor="accent1"/>
        <w:sz w:val="20"/>
        <w:szCs w:val="20"/>
      </w:rPr>
      <w:fldChar w:fldCharType="begin"/>
    </w:r>
    <w:r>
      <w:rPr>
        <w:color w:val="4472C4" w:themeColor="accent1"/>
        <w:sz w:val="20"/>
        <w:szCs w:val="20"/>
      </w:rPr>
      <w:instrText>PAGE  \* Arabic</w:instrText>
    </w:r>
    <w:r>
      <w:rPr>
        <w:color w:val="4472C4" w:themeColor="accent1"/>
        <w:sz w:val="20"/>
        <w:szCs w:val="20"/>
      </w:rPr>
      <w:fldChar w:fldCharType="separate"/>
    </w:r>
    <w:r w:rsidR="00941CD6">
      <w:rPr>
        <w:noProof/>
        <w:color w:val="4472C4" w:themeColor="accent1"/>
        <w:sz w:val="20"/>
        <w:szCs w:val="20"/>
      </w:rPr>
      <w:t>12</w:t>
    </w:r>
    <w:r>
      <w:rPr>
        <w:color w:val="4472C4" w:themeColor="accent1"/>
        <w:sz w:val="20"/>
        <w:szCs w:val="20"/>
      </w:rPr>
      <w:fldChar w:fldCharType="end"/>
    </w:r>
  </w:p>
  <w:p w14:paraId="23CC9125" w14:textId="77777777" w:rsidR="00117C81" w:rsidRDefault="00117C8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01874"/>
      <w:docPartObj>
        <w:docPartGallery w:val="Page Numbers (Bottom of Page)"/>
        <w:docPartUnique/>
      </w:docPartObj>
    </w:sdtPr>
    <w:sdtEndPr/>
    <w:sdtContent>
      <w:p w14:paraId="7A9AC66A" w14:textId="77777777" w:rsidR="00117C81" w:rsidRDefault="00117C81">
        <w:pPr>
          <w:pStyle w:val="Pidipagina"/>
          <w:jc w:val="right"/>
        </w:pPr>
        <w:r>
          <w:fldChar w:fldCharType="begin"/>
        </w:r>
        <w:r>
          <w:instrText>PAGE   \* MERGEFORMAT</w:instrText>
        </w:r>
        <w:r>
          <w:fldChar w:fldCharType="separate"/>
        </w:r>
        <w:r w:rsidR="004A188F">
          <w:rPr>
            <w:noProof/>
          </w:rPr>
          <w:t>3</w:t>
        </w:r>
        <w:r>
          <w:fldChar w:fldCharType="end"/>
        </w:r>
      </w:p>
    </w:sdtContent>
  </w:sdt>
  <w:p w14:paraId="1EBAD31C" w14:textId="77777777" w:rsidR="00117C81" w:rsidRDefault="00117C81">
    <w:pPr>
      <w:widowControl w:val="0"/>
      <w:pBdr>
        <w:top w:val="nil"/>
        <w:left w:val="nil"/>
        <w:bottom w:val="nil"/>
        <w:right w:val="nil"/>
        <w:between w:val="nil"/>
      </w:pBdr>
      <w:spacing w:after="0" w:line="276" w:lineRule="auto"/>
      <w:rPr>
        <w:rFonts w:ascii="Calibri" w:eastAsia="Calibri" w:hAnsi="Calibri" w:cs="Calibri"/>
        <w:color w:val="2F549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099FA" w14:textId="77777777" w:rsidR="00B3703F" w:rsidRDefault="00B3703F" w:rsidP="009309F0">
      <w:pPr>
        <w:spacing w:after="0" w:line="240" w:lineRule="auto"/>
      </w:pPr>
      <w:r>
        <w:separator/>
      </w:r>
    </w:p>
  </w:footnote>
  <w:footnote w:type="continuationSeparator" w:id="0">
    <w:p w14:paraId="24724DCB" w14:textId="77777777" w:rsidR="00B3703F" w:rsidRDefault="00B3703F" w:rsidP="009309F0">
      <w:pPr>
        <w:spacing w:after="0" w:line="240" w:lineRule="auto"/>
      </w:pPr>
      <w:r>
        <w:continuationSeparator/>
      </w:r>
    </w:p>
  </w:footnote>
  <w:footnote w:id="1">
    <w:p w14:paraId="5333A949" w14:textId="77777777" w:rsidR="00117C81" w:rsidRPr="004545B3" w:rsidRDefault="00117C81" w:rsidP="00117C81">
      <w:pPr>
        <w:spacing w:before="240" w:after="240"/>
        <w:rPr>
          <w:rFonts w:ascii="Calibri" w:eastAsia="Calibri" w:hAnsi="Calibri" w:cs="Calibri"/>
          <w:color w:val="002060"/>
          <w:sz w:val="20"/>
          <w:szCs w:val="20"/>
        </w:rPr>
      </w:pPr>
      <w:r w:rsidRPr="004545B3">
        <w:rPr>
          <w:color w:val="002060"/>
          <w:vertAlign w:val="superscript"/>
        </w:rPr>
        <w:footnoteRef/>
      </w:r>
      <w:r w:rsidRPr="004545B3">
        <w:rPr>
          <w:rFonts w:ascii="Calibri" w:eastAsia="Calibri" w:hAnsi="Calibri" w:cs="Calibri"/>
          <w:color w:val="002060"/>
          <w:sz w:val="20"/>
          <w:szCs w:val="20"/>
        </w:rPr>
        <w:t xml:space="preserve"> In tal senso, depone l’orientamento espresso dalla Suprema Corte di Cassazione, con sentenza 14.11.2011 n. 21226, che ha ritenuto gli ordini professionali enti pubblici non economici non soggetti al controllo di gestione della Corte dei Conti.</w:t>
      </w:r>
    </w:p>
  </w:footnote>
  <w:footnote w:id="2">
    <w:p w14:paraId="7FF23A98" w14:textId="77777777" w:rsidR="00117C81" w:rsidRPr="004545B3" w:rsidRDefault="00117C81" w:rsidP="00117C81">
      <w:pPr>
        <w:spacing w:before="240" w:after="240"/>
        <w:rPr>
          <w:rFonts w:ascii="Calibri" w:eastAsia="Calibri" w:hAnsi="Calibri" w:cs="Calibri"/>
          <w:color w:val="002060"/>
          <w:sz w:val="20"/>
          <w:szCs w:val="20"/>
        </w:rPr>
      </w:pPr>
      <w:r w:rsidRPr="004545B3">
        <w:rPr>
          <w:color w:val="002060"/>
          <w:vertAlign w:val="superscript"/>
        </w:rPr>
        <w:footnoteRef/>
      </w:r>
      <w:r w:rsidRPr="004545B3">
        <w:rPr>
          <w:rFonts w:ascii="Calibri" w:eastAsia="Calibri" w:hAnsi="Calibri" w:cs="Calibri"/>
          <w:color w:val="002060"/>
          <w:sz w:val="20"/>
          <w:szCs w:val="20"/>
        </w:rPr>
        <w:t xml:space="preserve"> La predetta autonomia patrimoniale fa sì che il loro bilancio non concorre, ai fini della predisposizione del bilancio consolidato dello Stato, al perseguimento degli obiettivi di finanza pubblica.</w:t>
      </w:r>
    </w:p>
  </w:footnote>
  <w:footnote w:id="3">
    <w:p w14:paraId="0ABEDAB3" w14:textId="77777777" w:rsidR="00117C81" w:rsidRPr="004545B3" w:rsidRDefault="00117C81" w:rsidP="00117C81">
      <w:pPr>
        <w:spacing w:before="240" w:after="240"/>
        <w:rPr>
          <w:rFonts w:ascii="Calibri" w:eastAsia="Calibri" w:hAnsi="Calibri" w:cs="Calibri"/>
          <w:color w:val="002060"/>
          <w:sz w:val="20"/>
          <w:szCs w:val="20"/>
        </w:rPr>
      </w:pPr>
      <w:r w:rsidRPr="004545B3">
        <w:rPr>
          <w:color w:val="002060"/>
          <w:vertAlign w:val="superscript"/>
        </w:rPr>
        <w:footnoteRef/>
      </w:r>
      <w:r w:rsidRPr="004545B3">
        <w:rPr>
          <w:rFonts w:ascii="Calibri" w:eastAsia="Calibri" w:hAnsi="Calibri" w:cs="Calibri"/>
          <w:color w:val="002060"/>
          <w:sz w:val="20"/>
          <w:szCs w:val="20"/>
        </w:rPr>
        <w:t xml:space="preserve"> Il 27/7/2018 sono state pubblicate in Gazzetta Ufficiale le Linee di indirizzo per la predisposizione dei piani dei fabbisogni di personale da parte delle amministrazioni pubbliche.</w:t>
      </w:r>
    </w:p>
    <w:p w14:paraId="56D8B3B5" w14:textId="77777777" w:rsidR="00117C81" w:rsidRDefault="00117C81" w:rsidP="00117C81">
      <w:pPr>
        <w:pBdr>
          <w:top w:val="nil"/>
          <w:left w:val="nil"/>
          <w:bottom w:val="nil"/>
          <w:right w:val="nil"/>
          <w:between w:val="nil"/>
        </w:pBdr>
        <w:spacing w:after="0"/>
        <w:rPr>
          <w:color w:val="000000"/>
          <w:sz w:val="20"/>
          <w:szCs w:val="20"/>
        </w:rPr>
      </w:pPr>
    </w:p>
  </w:footnote>
  <w:footnote w:id="4">
    <w:p w14:paraId="2B63C186" w14:textId="77777777" w:rsidR="006E18A7" w:rsidRPr="004545B3" w:rsidRDefault="006E18A7" w:rsidP="006E18A7">
      <w:pPr>
        <w:spacing w:before="240" w:after="240"/>
        <w:rPr>
          <w:color w:val="002060"/>
        </w:rPr>
      </w:pPr>
      <w:r w:rsidRPr="00853781">
        <w:rPr>
          <w:color w:val="002060"/>
          <w:vertAlign w:val="superscript"/>
        </w:rPr>
        <w:footnoteRef/>
      </w:r>
      <w:r w:rsidRPr="00853781">
        <w:rPr>
          <w:color w:val="002060"/>
        </w:rPr>
        <w:t xml:space="preserve"> </w:t>
      </w:r>
      <w:r w:rsidRPr="00853781">
        <w:rPr>
          <w:rFonts w:ascii="Calibri" w:eastAsia="Calibri" w:hAnsi="Calibri" w:cs="Calibri"/>
          <w:color w:val="002060"/>
        </w:rPr>
        <w:t xml:space="preserve">Gli artt. 33, 34 e 34-bis disciplinano la cosiddetta </w:t>
      </w:r>
      <w:r w:rsidRPr="00853781">
        <w:rPr>
          <w:rFonts w:ascii="Calibri" w:eastAsia="Calibri" w:hAnsi="Calibri" w:cs="Calibri"/>
          <w:b/>
          <w:color w:val="002060"/>
        </w:rPr>
        <w:t>mobilità obbligatoria</w:t>
      </w:r>
      <w:r w:rsidRPr="00853781">
        <w:rPr>
          <w:rFonts w:ascii="Calibri" w:eastAsia="Calibri" w:hAnsi="Calibri" w:cs="Calibri"/>
          <w:color w:val="002060"/>
        </w:rPr>
        <w:t xml:space="preserve"> e indicano la procedura da adottare, da parte delle amministrazioni, in caso di ricollocazione di dipendenti pubblici posti in disponibilità, quando questi non possono essere ricollocati presso la propria amministrazione od altre amministrazioni, in relazione alle esigenze funzionali o alla situazione finanziaria, in applicazione dell’art. 33 del predetto decreto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E47"/>
    <w:multiLevelType w:val="hybridMultilevel"/>
    <w:tmpl w:val="E53A8F20"/>
    <w:lvl w:ilvl="0" w:tplc="B726A9C8">
      <w:start w:val="2022"/>
      <w:numFmt w:val="bullet"/>
      <w:lvlText w:val=""/>
      <w:lvlJc w:val="left"/>
      <w:pPr>
        <w:ind w:left="927" w:hanging="360"/>
      </w:pPr>
      <w:rPr>
        <w:rFonts w:ascii="Symbol" w:eastAsia="Calibri" w:hAnsi="Symbol"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 w15:restartNumberingAfterBreak="0">
    <w:nsid w:val="0230173F"/>
    <w:multiLevelType w:val="multilevel"/>
    <w:tmpl w:val="E6DC44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524209"/>
    <w:multiLevelType w:val="hybridMultilevel"/>
    <w:tmpl w:val="FD7E59C0"/>
    <w:lvl w:ilvl="0" w:tplc="855EFA82">
      <w:start w:val="5"/>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08C9334A"/>
    <w:multiLevelType w:val="multilevel"/>
    <w:tmpl w:val="934E83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18809FC"/>
    <w:multiLevelType w:val="multilevel"/>
    <w:tmpl w:val="96DAD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280D54"/>
    <w:multiLevelType w:val="multilevel"/>
    <w:tmpl w:val="934E83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1D02E08"/>
    <w:multiLevelType w:val="multilevel"/>
    <w:tmpl w:val="934E83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7F04353"/>
    <w:multiLevelType w:val="multilevel"/>
    <w:tmpl w:val="3746E9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5508689B"/>
    <w:multiLevelType w:val="multilevel"/>
    <w:tmpl w:val="934E83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72C7819"/>
    <w:multiLevelType w:val="hybridMultilevel"/>
    <w:tmpl w:val="A5FC21FC"/>
    <w:lvl w:ilvl="0" w:tplc="C6EAA482">
      <w:start w:val="14"/>
      <w:numFmt w:val="bullet"/>
      <w:lvlText w:val="-"/>
      <w:lvlJc w:val="left"/>
      <w:pPr>
        <w:ind w:left="1080" w:hanging="360"/>
      </w:pPr>
      <w:rPr>
        <w:rFonts w:ascii="Calibri" w:eastAsia="Calibr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5C6D1364"/>
    <w:multiLevelType w:val="multilevel"/>
    <w:tmpl w:val="46826A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765B2E"/>
    <w:multiLevelType w:val="multilevel"/>
    <w:tmpl w:val="934E83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F08664E"/>
    <w:multiLevelType w:val="multilevel"/>
    <w:tmpl w:val="934E83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7D1F74A1"/>
    <w:multiLevelType w:val="hybridMultilevel"/>
    <w:tmpl w:val="DF44DE72"/>
    <w:lvl w:ilvl="0" w:tplc="49FCAB08">
      <w:start w:val="2022"/>
      <w:numFmt w:val="bullet"/>
      <w:lvlText w:val=""/>
      <w:lvlJc w:val="left"/>
      <w:pPr>
        <w:ind w:left="-207" w:hanging="360"/>
      </w:pPr>
      <w:rPr>
        <w:rFonts w:ascii="Symbol" w:eastAsia="Garamond" w:hAnsi="Symbol" w:cs="Garamond" w:hint="default"/>
      </w:rPr>
    </w:lvl>
    <w:lvl w:ilvl="1" w:tplc="04100003" w:tentative="1">
      <w:start w:val="1"/>
      <w:numFmt w:val="bullet"/>
      <w:lvlText w:val="o"/>
      <w:lvlJc w:val="left"/>
      <w:pPr>
        <w:ind w:left="513" w:hanging="360"/>
      </w:pPr>
      <w:rPr>
        <w:rFonts w:ascii="Courier New" w:hAnsi="Courier New" w:cs="Courier New" w:hint="default"/>
      </w:rPr>
    </w:lvl>
    <w:lvl w:ilvl="2" w:tplc="04100005" w:tentative="1">
      <w:start w:val="1"/>
      <w:numFmt w:val="bullet"/>
      <w:lvlText w:val=""/>
      <w:lvlJc w:val="left"/>
      <w:pPr>
        <w:ind w:left="1233" w:hanging="360"/>
      </w:pPr>
      <w:rPr>
        <w:rFonts w:ascii="Wingdings" w:hAnsi="Wingdings" w:hint="default"/>
      </w:rPr>
    </w:lvl>
    <w:lvl w:ilvl="3" w:tplc="04100001" w:tentative="1">
      <w:start w:val="1"/>
      <w:numFmt w:val="bullet"/>
      <w:lvlText w:val=""/>
      <w:lvlJc w:val="left"/>
      <w:pPr>
        <w:ind w:left="1953" w:hanging="360"/>
      </w:pPr>
      <w:rPr>
        <w:rFonts w:ascii="Symbol" w:hAnsi="Symbol" w:hint="default"/>
      </w:rPr>
    </w:lvl>
    <w:lvl w:ilvl="4" w:tplc="04100003" w:tentative="1">
      <w:start w:val="1"/>
      <w:numFmt w:val="bullet"/>
      <w:lvlText w:val="o"/>
      <w:lvlJc w:val="left"/>
      <w:pPr>
        <w:ind w:left="2673" w:hanging="360"/>
      </w:pPr>
      <w:rPr>
        <w:rFonts w:ascii="Courier New" w:hAnsi="Courier New" w:cs="Courier New" w:hint="default"/>
      </w:rPr>
    </w:lvl>
    <w:lvl w:ilvl="5" w:tplc="04100005" w:tentative="1">
      <w:start w:val="1"/>
      <w:numFmt w:val="bullet"/>
      <w:lvlText w:val=""/>
      <w:lvlJc w:val="left"/>
      <w:pPr>
        <w:ind w:left="3393" w:hanging="360"/>
      </w:pPr>
      <w:rPr>
        <w:rFonts w:ascii="Wingdings" w:hAnsi="Wingdings" w:hint="default"/>
      </w:rPr>
    </w:lvl>
    <w:lvl w:ilvl="6" w:tplc="04100001" w:tentative="1">
      <w:start w:val="1"/>
      <w:numFmt w:val="bullet"/>
      <w:lvlText w:val=""/>
      <w:lvlJc w:val="left"/>
      <w:pPr>
        <w:ind w:left="4113" w:hanging="360"/>
      </w:pPr>
      <w:rPr>
        <w:rFonts w:ascii="Symbol" w:hAnsi="Symbol" w:hint="default"/>
      </w:rPr>
    </w:lvl>
    <w:lvl w:ilvl="7" w:tplc="04100003" w:tentative="1">
      <w:start w:val="1"/>
      <w:numFmt w:val="bullet"/>
      <w:lvlText w:val="o"/>
      <w:lvlJc w:val="left"/>
      <w:pPr>
        <w:ind w:left="4833" w:hanging="360"/>
      </w:pPr>
      <w:rPr>
        <w:rFonts w:ascii="Courier New" w:hAnsi="Courier New" w:cs="Courier New" w:hint="default"/>
      </w:rPr>
    </w:lvl>
    <w:lvl w:ilvl="8" w:tplc="04100005" w:tentative="1">
      <w:start w:val="1"/>
      <w:numFmt w:val="bullet"/>
      <w:lvlText w:val=""/>
      <w:lvlJc w:val="left"/>
      <w:pPr>
        <w:ind w:left="5553" w:hanging="360"/>
      </w:pPr>
      <w:rPr>
        <w:rFonts w:ascii="Wingdings" w:hAnsi="Wingdings" w:hint="default"/>
      </w:rPr>
    </w:lvl>
  </w:abstractNum>
  <w:num w:numId="1" w16cid:durableId="289895504">
    <w:abstractNumId w:val="7"/>
  </w:num>
  <w:num w:numId="2" w16cid:durableId="307788681">
    <w:abstractNumId w:val="1"/>
  </w:num>
  <w:num w:numId="3" w16cid:durableId="1936208827">
    <w:abstractNumId w:val="11"/>
  </w:num>
  <w:num w:numId="4" w16cid:durableId="1725331832">
    <w:abstractNumId w:val="4"/>
  </w:num>
  <w:num w:numId="5" w16cid:durableId="330840988">
    <w:abstractNumId w:val="10"/>
  </w:num>
  <w:num w:numId="6" w16cid:durableId="1168793019">
    <w:abstractNumId w:val="9"/>
  </w:num>
  <w:num w:numId="7" w16cid:durableId="759525083">
    <w:abstractNumId w:val="13"/>
  </w:num>
  <w:num w:numId="8" w16cid:durableId="424426308">
    <w:abstractNumId w:val="0"/>
  </w:num>
  <w:num w:numId="9" w16cid:durableId="1668824941">
    <w:abstractNumId w:val="3"/>
  </w:num>
  <w:num w:numId="10" w16cid:durableId="1960916890">
    <w:abstractNumId w:val="8"/>
  </w:num>
  <w:num w:numId="11" w16cid:durableId="91364718">
    <w:abstractNumId w:val="2"/>
  </w:num>
  <w:num w:numId="12" w16cid:durableId="636685186">
    <w:abstractNumId w:val="6"/>
  </w:num>
  <w:num w:numId="13" w16cid:durableId="439643913">
    <w:abstractNumId w:val="12"/>
  </w:num>
  <w:num w:numId="14" w16cid:durableId="2585650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9F0"/>
    <w:rsid w:val="00037A5C"/>
    <w:rsid w:val="00050307"/>
    <w:rsid w:val="0005515A"/>
    <w:rsid w:val="00062EDD"/>
    <w:rsid w:val="00072906"/>
    <w:rsid w:val="00074846"/>
    <w:rsid w:val="000B5A6F"/>
    <w:rsid w:val="000C3037"/>
    <w:rsid w:val="000D14EF"/>
    <w:rsid w:val="000D1FA2"/>
    <w:rsid w:val="0010763E"/>
    <w:rsid w:val="00117C81"/>
    <w:rsid w:val="001215C2"/>
    <w:rsid w:val="0012709E"/>
    <w:rsid w:val="0013149A"/>
    <w:rsid w:val="0013154F"/>
    <w:rsid w:val="00131AD2"/>
    <w:rsid w:val="00143125"/>
    <w:rsid w:val="00146108"/>
    <w:rsid w:val="001524B0"/>
    <w:rsid w:val="001551A6"/>
    <w:rsid w:val="001918CA"/>
    <w:rsid w:val="001A2AA8"/>
    <w:rsid w:val="001D18D7"/>
    <w:rsid w:val="001D19CB"/>
    <w:rsid w:val="001E5E8E"/>
    <w:rsid w:val="00216EED"/>
    <w:rsid w:val="0024003A"/>
    <w:rsid w:val="002B2C5F"/>
    <w:rsid w:val="002B5385"/>
    <w:rsid w:val="002F6DF7"/>
    <w:rsid w:val="00306C17"/>
    <w:rsid w:val="00317575"/>
    <w:rsid w:val="0033098C"/>
    <w:rsid w:val="0034460E"/>
    <w:rsid w:val="00356342"/>
    <w:rsid w:val="00360AD8"/>
    <w:rsid w:val="003A494C"/>
    <w:rsid w:val="003A5624"/>
    <w:rsid w:val="003B4F14"/>
    <w:rsid w:val="003D3407"/>
    <w:rsid w:val="003D67F0"/>
    <w:rsid w:val="00426158"/>
    <w:rsid w:val="004545B3"/>
    <w:rsid w:val="0046587E"/>
    <w:rsid w:val="0048691C"/>
    <w:rsid w:val="0049731B"/>
    <w:rsid w:val="004A188F"/>
    <w:rsid w:val="004A24E2"/>
    <w:rsid w:val="004A3FB6"/>
    <w:rsid w:val="004B2F65"/>
    <w:rsid w:val="004D37DC"/>
    <w:rsid w:val="004F21A7"/>
    <w:rsid w:val="004F7914"/>
    <w:rsid w:val="004F7AE6"/>
    <w:rsid w:val="00514AF4"/>
    <w:rsid w:val="00577901"/>
    <w:rsid w:val="0058648D"/>
    <w:rsid w:val="005A15F5"/>
    <w:rsid w:val="005F2E70"/>
    <w:rsid w:val="00606E26"/>
    <w:rsid w:val="006520BF"/>
    <w:rsid w:val="006C027B"/>
    <w:rsid w:val="006C12A8"/>
    <w:rsid w:val="006E18A7"/>
    <w:rsid w:val="006E6CAB"/>
    <w:rsid w:val="006E71DD"/>
    <w:rsid w:val="007039AF"/>
    <w:rsid w:val="007140D9"/>
    <w:rsid w:val="007321E4"/>
    <w:rsid w:val="00737173"/>
    <w:rsid w:val="00741080"/>
    <w:rsid w:val="00751AED"/>
    <w:rsid w:val="007542A5"/>
    <w:rsid w:val="0075459D"/>
    <w:rsid w:val="007577C4"/>
    <w:rsid w:val="00777C3A"/>
    <w:rsid w:val="007A3480"/>
    <w:rsid w:val="007A6DB9"/>
    <w:rsid w:val="007B2B11"/>
    <w:rsid w:val="007F143A"/>
    <w:rsid w:val="0081425D"/>
    <w:rsid w:val="008160A2"/>
    <w:rsid w:val="0081781C"/>
    <w:rsid w:val="00823ED3"/>
    <w:rsid w:val="00834342"/>
    <w:rsid w:val="00853781"/>
    <w:rsid w:val="00862F66"/>
    <w:rsid w:val="008763D6"/>
    <w:rsid w:val="008865BF"/>
    <w:rsid w:val="00892147"/>
    <w:rsid w:val="008C2A9F"/>
    <w:rsid w:val="008C5000"/>
    <w:rsid w:val="008C6D11"/>
    <w:rsid w:val="008D5622"/>
    <w:rsid w:val="00910433"/>
    <w:rsid w:val="009114CE"/>
    <w:rsid w:val="009309F0"/>
    <w:rsid w:val="00941CD6"/>
    <w:rsid w:val="00960D30"/>
    <w:rsid w:val="0097260E"/>
    <w:rsid w:val="0097478D"/>
    <w:rsid w:val="0098654E"/>
    <w:rsid w:val="00990D9C"/>
    <w:rsid w:val="009979E7"/>
    <w:rsid w:val="009B3350"/>
    <w:rsid w:val="009B77A6"/>
    <w:rsid w:val="009D53B8"/>
    <w:rsid w:val="009E673F"/>
    <w:rsid w:val="009E6F0C"/>
    <w:rsid w:val="00A03165"/>
    <w:rsid w:val="00A10383"/>
    <w:rsid w:val="00A34371"/>
    <w:rsid w:val="00A418AB"/>
    <w:rsid w:val="00A82CD9"/>
    <w:rsid w:val="00A85936"/>
    <w:rsid w:val="00A923A1"/>
    <w:rsid w:val="00A965A8"/>
    <w:rsid w:val="00AB48D9"/>
    <w:rsid w:val="00AE594B"/>
    <w:rsid w:val="00B00AC3"/>
    <w:rsid w:val="00B01921"/>
    <w:rsid w:val="00B21353"/>
    <w:rsid w:val="00B3703F"/>
    <w:rsid w:val="00B4737C"/>
    <w:rsid w:val="00B653D6"/>
    <w:rsid w:val="00B7357D"/>
    <w:rsid w:val="00B831AB"/>
    <w:rsid w:val="00B923FF"/>
    <w:rsid w:val="00B95225"/>
    <w:rsid w:val="00BC16C8"/>
    <w:rsid w:val="00BC5EAE"/>
    <w:rsid w:val="00BD28CA"/>
    <w:rsid w:val="00BD5D84"/>
    <w:rsid w:val="00C17839"/>
    <w:rsid w:val="00C4523C"/>
    <w:rsid w:val="00C5252B"/>
    <w:rsid w:val="00C551F3"/>
    <w:rsid w:val="00C62D82"/>
    <w:rsid w:val="00C80CE6"/>
    <w:rsid w:val="00C86292"/>
    <w:rsid w:val="00CA04FE"/>
    <w:rsid w:val="00CB47E9"/>
    <w:rsid w:val="00CD29AC"/>
    <w:rsid w:val="00CE2A0B"/>
    <w:rsid w:val="00D1266F"/>
    <w:rsid w:val="00D311B0"/>
    <w:rsid w:val="00D571F4"/>
    <w:rsid w:val="00D67167"/>
    <w:rsid w:val="00D67B1B"/>
    <w:rsid w:val="00D813E5"/>
    <w:rsid w:val="00D84074"/>
    <w:rsid w:val="00DC5A2E"/>
    <w:rsid w:val="00DE3918"/>
    <w:rsid w:val="00E25FB2"/>
    <w:rsid w:val="00E3615C"/>
    <w:rsid w:val="00E44C9A"/>
    <w:rsid w:val="00E45F76"/>
    <w:rsid w:val="00E5393C"/>
    <w:rsid w:val="00EA2F43"/>
    <w:rsid w:val="00EA6E25"/>
    <w:rsid w:val="00EB11B0"/>
    <w:rsid w:val="00EC797A"/>
    <w:rsid w:val="00EF4AC0"/>
    <w:rsid w:val="00F01A7A"/>
    <w:rsid w:val="00F13288"/>
    <w:rsid w:val="00F14BC3"/>
    <w:rsid w:val="00F17292"/>
    <w:rsid w:val="00F27C95"/>
    <w:rsid w:val="00F36FBE"/>
    <w:rsid w:val="00F43B4B"/>
    <w:rsid w:val="00F81E14"/>
    <w:rsid w:val="00F862D0"/>
    <w:rsid w:val="00FC34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75F0A"/>
  <w15:docId w15:val="{52D53830-D5CA-4E46-A9DE-617C8BF3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309F0"/>
  </w:style>
  <w:style w:type="paragraph" w:styleId="Titolo1">
    <w:name w:val="heading 1"/>
    <w:basedOn w:val="Normale"/>
    <w:next w:val="Normale"/>
    <w:link w:val="Titolo1Carattere"/>
    <w:uiPriority w:val="9"/>
    <w:qFormat/>
    <w:rsid w:val="00AE594B"/>
    <w:pPr>
      <w:keepNext/>
      <w:keepLines/>
      <w:spacing w:before="240" w:after="0" w:line="240" w:lineRule="auto"/>
      <w:jc w:val="both"/>
      <w:outlineLvl w:val="0"/>
    </w:pPr>
    <w:rPr>
      <w:rFonts w:asciiTheme="majorHAnsi" w:eastAsiaTheme="majorEastAsia" w:hAnsiTheme="majorHAnsi" w:cstheme="majorBidi"/>
      <w:sz w:val="24"/>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309F0"/>
    <w:pPr>
      <w:ind w:left="720"/>
      <w:contextualSpacing/>
    </w:pPr>
  </w:style>
  <w:style w:type="table" w:styleId="Grigliatabella">
    <w:name w:val="Table Grid"/>
    <w:basedOn w:val="Tabellanormale"/>
    <w:uiPriority w:val="39"/>
    <w:rsid w:val="008C6D11"/>
    <w:pPr>
      <w:spacing w:after="0" w:line="240" w:lineRule="auto"/>
      <w:jc w:val="both"/>
    </w:pPr>
    <w:rPr>
      <w:rFonts w:ascii="Garamond" w:eastAsia="Garamond" w:hAnsi="Garamond" w:cs="Garamond"/>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AE594B"/>
    <w:rPr>
      <w:rFonts w:asciiTheme="majorHAnsi" w:eastAsiaTheme="majorEastAsia" w:hAnsiTheme="majorHAnsi" w:cstheme="majorBidi"/>
      <w:sz w:val="24"/>
      <w:szCs w:val="32"/>
      <w:lang w:eastAsia="it-IT"/>
    </w:rPr>
  </w:style>
  <w:style w:type="paragraph" w:styleId="Intestazione">
    <w:name w:val="header"/>
    <w:basedOn w:val="Normale"/>
    <w:link w:val="IntestazioneCarattere"/>
    <w:uiPriority w:val="99"/>
    <w:unhideWhenUsed/>
    <w:rsid w:val="00117C8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17C81"/>
  </w:style>
  <w:style w:type="paragraph" w:styleId="Pidipagina">
    <w:name w:val="footer"/>
    <w:basedOn w:val="Normale"/>
    <w:link w:val="PidipaginaCarattere"/>
    <w:uiPriority w:val="99"/>
    <w:unhideWhenUsed/>
    <w:rsid w:val="00117C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17C81"/>
  </w:style>
  <w:style w:type="paragraph" w:styleId="Testofumetto">
    <w:name w:val="Balloon Text"/>
    <w:basedOn w:val="Normale"/>
    <w:link w:val="TestofumettoCarattere"/>
    <w:uiPriority w:val="99"/>
    <w:semiHidden/>
    <w:unhideWhenUsed/>
    <w:rsid w:val="0097260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726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2628">
      <w:bodyDiv w:val="1"/>
      <w:marLeft w:val="0"/>
      <w:marRight w:val="0"/>
      <w:marTop w:val="0"/>
      <w:marBottom w:val="0"/>
      <w:divBdr>
        <w:top w:val="none" w:sz="0" w:space="0" w:color="auto"/>
        <w:left w:val="none" w:sz="0" w:space="0" w:color="auto"/>
        <w:bottom w:val="none" w:sz="0" w:space="0" w:color="auto"/>
        <w:right w:val="none" w:sz="0" w:space="0" w:color="auto"/>
      </w:divBdr>
    </w:div>
    <w:div w:id="184101740">
      <w:bodyDiv w:val="1"/>
      <w:marLeft w:val="0"/>
      <w:marRight w:val="0"/>
      <w:marTop w:val="0"/>
      <w:marBottom w:val="0"/>
      <w:divBdr>
        <w:top w:val="none" w:sz="0" w:space="0" w:color="auto"/>
        <w:left w:val="none" w:sz="0" w:space="0" w:color="auto"/>
        <w:bottom w:val="none" w:sz="0" w:space="0" w:color="auto"/>
        <w:right w:val="none" w:sz="0" w:space="0" w:color="auto"/>
      </w:divBdr>
    </w:div>
    <w:div w:id="356322541">
      <w:bodyDiv w:val="1"/>
      <w:marLeft w:val="0"/>
      <w:marRight w:val="0"/>
      <w:marTop w:val="0"/>
      <w:marBottom w:val="0"/>
      <w:divBdr>
        <w:top w:val="none" w:sz="0" w:space="0" w:color="auto"/>
        <w:left w:val="none" w:sz="0" w:space="0" w:color="auto"/>
        <w:bottom w:val="none" w:sz="0" w:space="0" w:color="auto"/>
        <w:right w:val="none" w:sz="0" w:space="0" w:color="auto"/>
      </w:divBdr>
    </w:div>
    <w:div w:id="411001785">
      <w:bodyDiv w:val="1"/>
      <w:marLeft w:val="0"/>
      <w:marRight w:val="0"/>
      <w:marTop w:val="0"/>
      <w:marBottom w:val="0"/>
      <w:divBdr>
        <w:top w:val="none" w:sz="0" w:space="0" w:color="auto"/>
        <w:left w:val="none" w:sz="0" w:space="0" w:color="auto"/>
        <w:bottom w:val="none" w:sz="0" w:space="0" w:color="auto"/>
        <w:right w:val="none" w:sz="0" w:space="0" w:color="auto"/>
      </w:divBdr>
    </w:div>
    <w:div w:id="449470507">
      <w:bodyDiv w:val="1"/>
      <w:marLeft w:val="0"/>
      <w:marRight w:val="0"/>
      <w:marTop w:val="0"/>
      <w:marBottom w:val="0"/>
      <w:divBdr>
        <w:top w:val="none" w:sz="0" w:space="0" w:color="auto"/>
        <w:left w:val="none" w:sz="0" w:space="0" w:color="auto"/>
        <w:bottom w:val="none" w:sz="0" w:space="0" w:color="auto"/>
        <w:right w:val="none" w:sz="0" w:space="0" w:color="auto"/>
      </w:divBdr>
    </w:div>
    <w:div w:id="513039958">
      <w:bodyDiv w:val="1"/>
      <w:marLeft w:val="0"/>
      <w:marRight w:val="0"/>
      <w:marTop w:val="0"/>
      <w:marBottom w:val="0"/>
      <w:divBdr>
        <w:top w:val="none" w:sz="0" w:space="0" w:color="auto"/>
        <w:left w:val="none" w:sz="0" w:space="0" w:color="auto"/>
        <w:bottom w:val="none" w:sz="0" w:space="0" w:color="auto"/>
        <w:right w:val="none" w:sz="0" w:space="0" w:color="auto"/>
      </w:divBdr>
    </w:div>
    <w:div w:id="605619097">
      <w:bodyDiv w:val="1"/>
      <w:marLeft w:val="0"/>
      <w:marRight w:val="0"/>
      <w:marTop w:val="0"/>
      <w:marBottom w:val="0"/>
      <w:divBdr>
        <w:top w:val="none" w:sz="0" w:space="0" w:color="auto"/>
        <w:left w:val="none" w:sz="0" w:space="0" w:color="auto"/>
        <w:bottom w:val="none" w:sz="0" w:space="0" w:color="auto"/>
        <w:right w:val="none" w:sz="0" w:space="0" w:color="auto"/>
      </w:divBdr>
    </w:div>
    <w:div w:id="696128573">
      <w:bodyDiv w:val="1"/>
      <w:marLeft w:val="0"/>
      <w:marRight w:val="0"/>
      <w:marTop w:val="0"/>
      <w:marBottom w:val="0"/>
      <w:divBdr>
        <w:top w:val="none" w:sz="0" w:space="0" w:color="auto"/>
        <w:left w:val="none" w:sz="0" w:space="0" w:color="auto"/>
        <w:bottom w:val="none" w:sz="0" w:space="0" w:color="auto"/>
        <w:right w:val="none" w:sz="0" w:space="0" w:color="auto"/>
      </w:divBdr>
    </w:div>
    <w:div w:id="701129405">
      <w:bodyDiv w:val="1"/>
      <w:marLeft w:val="0"/>
      <w:marRight w:val="0"/>
      <w:marTop w:val="0"/>
      <w:marBottom w:val="0"/>
      <w:divBdr>
        <w:top w:val="none" w:sz="0" w:space="0" w:color="auto"/>
        <w:left w:val="none" w:sz="0" w:space="0" w:color="auto"/>
        <w:bottom w:val="none" w:sz="0" w:space="0" w:color="auto"/>
        <w:right w:val="none" w:sz="0" w:space="0" w:color="auto"/>
      </w:divBdr>
    </w:div>
    <w:div w:id="776676082">
      <w:bodyDiv w:val="1"/>
      <w:marLeft w:val="0"/>
      <w:marRight w:val="0"/>
      <w:marTop w:val="0"/>
      <w:marBottom w:val="0"/>
      <w:divBdr>
        <w:top w:val="none" w:sz="0" w:space="0" w:color="auto"/>
        <w:left w:val="none" w:sz="0" w:space="0" w:color="auto"/>
        <w:bottom w:val="none" w:sz="0" w:space="0" w:color="auto"/>
        <w:right w:val="none" w:sz="0" w:space="0" w:color="auto"/>
      </w:divBdr>
    </w:div>
    <w:div w:id="818040319">
      <w:bodyDiv w:val="1"/>
      <w:marLeft w:val="0"/>
      <w:marRight w:val="0"/>
      <w:marTop w:val="0"/>
      <w:marBottom w:val="0"/>
      <w:divBdr>
        <w:top w:val="none" w:sz="0" w:space="0" w:color="auto"/>
        <w:left w:val="none" w:sz="0" w:space="0" w:color="auto"/>
        <w:bottom w:val="none" w:sz="0" w:space="0" w:color="auto"/>
        <w:right w:val="none" w:sz="0" w:space="0" w:color="auto"/>
      </w:divBdr>
    </w:div>
    <w:div w:id="1022315762">
      <w:bodyDiv w:val="1"/>
      <w:marLeft w:val="0"/>
      <w:marRight w:val="0"/>
      <w:marTop w:val="0"/>
      <w:marBottom w:val="0"/>
      <w:divBdr>
        <w:top w:val="none" w:sz="0" w:space="0" w:color="auto"/>
        <w:left w:val="none" w:sz="0" w:space="0" w:color="auto"/>
        <w:bottom w:val="none" w:sz="0" w:space="0" w:color="auto"/>
        <w:right w:val="none" w:sz="0" w:space="0" w:color="auto"/>
      </w:divBdr>
    </w:div>
    <w:div w:id="1133140257">
      <w:bodyDiv w:val="1"/>
      <w:marLeft w:val="0"/>
      <w:marRight w:val="0"/>
      <w:marTop w:val="0"/>
      <w:marBottom w:val="0"/>
      <w:divBdr>
        <w:top w:val="none" w:sz="0" w:space="0" w:color="auto"/>
        <w:left w:val="none" w:sz="0" w:space="0" w:color="auto"/>
        <w:bottom w:val="none" w:sz="0" w:space="0" w:color="auto"/>
        <w:right w:val="none" w:sz="0" w:space="0" w:color="auto"/>
      </w:divBdr>
    </w:div>
    <w:div w:id="1192690206">
      <w:bodyDiv w:val="1"/>
      <w:marLeft w:val="0"/>
      <w:marRight w:val="0"/>
      <w:marTop w:val="0"/>
      <w:marBottom w:val="0"/>
      <w:divBdr>
        <w:top w:val="none" w:sz="0" w:space="0" w:color="auto"/>
        <w:left w:val="none" w:sz="0" w:space="0" w:color="auto"/>
        <w:bottom w:val="none" w:sz="0" w:space="0" w:color="auto"/>
        <w:right w:val="none" w:sz="0" w:space="0" w:color="auto"/>
      </w:divBdr>
    </w:div>
    <w:div w:id="1195121300">
      <w:bodyDiv w:val="1"/>
      <w:marLeft w:val="0"/>
      <w:marRight w:val="0"/>
      <w:marTop w:val="0"/>
      <w:marBottom w:val="0"/>
      <w:divBdr>
        <w:top w:val="none" w:sz="0" w:space="0" w:color="auto"/>
        <w:left w:val="none" w:sz="0" w:space="0" w:color="auto"/>
        <w:bottom w:val="none" w:sz="0" w:space="0" w:color="auto"/>
        <w:right w:val="none" w:sz="0" w:space="0" w:color="auto"/>
      </w:divBdr>
    </w:div>
    <w:div w:id="1360545720">
      <w:bodyDiv w:val="1"/>
      <w:marLeft w:val="0"/>
      <w:marRight w:val="0"/>
      <w:marTop w:val="0"/>
      <w:marBottom w:val="0"/>
      <w:divBdr>
        <w:top w:val="none" w:sz="0" w:space="0" w:color="auto"/>
        <w:left w:val="none" w:sz="0" w:space="0" w:color="auto"/>
        <w:bottom w:val="none" w:sz="0" w:space="0" w:color="auto"/>
        <w:right w:val="none" w:sz="0" w:space="0" w:color="auto"/>
      </w:divBdr>
    </w:div>
    <w:div w:id="1490828785">
      <w:bodyDiv w:val="1"/>
      <w:marLeft w:val="0"/>
      <w:marRight w:val="0"/>
      <w:marTop w:val="0"/>
      <w:marBottom w:val="0"/>
      <w:divBdr>
        <w:top w:val="none" w:sz="0" w:space="0" w:color="auto"/>
        <w:left w:val="none" w:sz="0" w:space="0" w:color="auto"/>
        <w:bottom w:val="none" w:sz="0" w:space="0" w:color="auto"/>
        <w:right w:val="none" w:sz="0" w:space="0" w:color="auto"/>
      </w:divBdr>
    </w:div>
    <w:div w:id="1612783662">
      <w:bodyDiv w:val="1"/>
      <w:marLeft w:val="0"/>
      <w:marRight w:val="0"/>
      <w:marTop w:val="0"/>
      <w:marBottom w:val="0"/>
      <w:divBdr>
        <w:top w:val="none" w:sz="0" w:space="0" w:color="auto"/>
        <w:left w:val="none" w:sz="0" w:space="0" w:color="auto"/>
        <w:bottom w:val="none" w:sz="0" w:space="0" w:color="auto"/>
        <w:right w:val="none" w:sz="0" w:space="0" w:color="auto"/>
      </w:divBdr>
    </w:div>
    <w:div w:id="1869026318">
      <w:bodyDiv w:val="1"/>
      <w:marLeft w:val="0"/>
      <w:marRight w:val="0"/>
      <w:marTop w:val="0"/>
      <w:marBottom w:val="0"/>
      <w:divBdr>
        <w:top w:val="none" w:sz="0" w:space="0" w:color="auto"/>
        <w:left w:val="none" w:sz="0" w:space="0" w:color="auto"/>
        <w:bottom w:val="none" w:sz="0" w:space="0" w:color="auto"/>
        <w:right w:val="none" w:sz="0" w:space="0" w:color="auto"/>
      </w:divBdr>
    </w:div>
    <w:div w:id="1869221237">
      <w:bodyDiv w:val="1"/>
      <w:marLeft w:val="0"/>
      <w:marRight w:val="0"/>
      <w:marTop w:val="0"/>
      <w:marBottom w:val="0"/>
      <w:divBdr>
        <w:top w:val="none" w:sz="0" w:space="0" w:color="auto"/>
        <w:left w:val="none" w:sz="0" w:space="0" w:color="auto"/>
        <w:bottom w:val="none" w:sz="0" w:space="0" w:color="auto"/>
        <w:right w:val="none" w:sz="0" w:space="0" w:color="auto"/>
      </w:divBdr>
    </w:div>
    <w:div w:id="18922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9646B-A50B-4CA0-BE9E-A1C467468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13</Pages>
  <Words>3252</Words>
  <Characters>18541</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Collegio Geometri PIACENZA</dc:creator>
  <cp:lastModifiedBy>Collegio Geometri PC</cp:lastModifiedBy>
  <cp:revision>31</cp:revision>
  <cp:lastPrinted>2025-01-24T09:34:00Z</cp:lastPrinted>
  <dcterms:created xsi:type="dcterms:W3CDTF">2025-01-09T08:13:00Z</dcterms:created>
  <dcterms:modified xsi:type="dcterms:W3CDTF">2025-02-10T08:20:00Z</dcterms:modified>
</cp:coreProperties>
</file>