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5799" w14:textId="0A1BB160" w:rsidR="00F13973" w:rsidRPr="00F13973" w:rsidRDefault="00F13973" w:rsidP="00F13973">
      <w:hyperlink r:id="rId4" w:history="1">
        <w:r>
          <w:rPr>
            <w:rStyle w:val="Collegamentoipertestuale"/>
          </w:rPr>
          <w:t>Riferimenti normativi anticorruzione ANAC</w:t>
        </w:r>
      </w:hyperlink>
    </w:p>
    <w:sectPr w:rsidR="00F13973" w:rsidRPr="00F139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73"/>
    <w:rsid w:val="00F1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8F95C"/>
  <w15:chartTrackingRefBased/>
  <w15:docId w15:val="{F29837A6-1EFD-424B-A1CC-6C4159B3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139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nticorruzione.it/amministrazione-trasparente/disposizioni-generali/atti-generali/riferimenti-normativ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1</cp:revision>
  <dcterms:created xsi:type="dcterms:W3CDTF">2023-10-17T11:09:00Z</dcterms:created>
  <dcterms:modified xsi:type="dcterms:W3CDTF">2023-10-17T11:17:00Z</dcterms:modified>
</cp:coreProperties>
</file>