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Link webinar gratuito accreditato (Geometri 3 CFP):</w:t>
      </w:r>
    </w:p>
    <w:p w:rsidR="00000000" w:rsidDel="00000000" w:rsidP="00000000" w:rsidRDefault="00000000" w:rsidRPr="00000000" w14:paraId="00000002">
      <w:pPr>
        <w:rPr>
          <w:color w:val="1155cc"/>
          <w:u w:val="single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  <w:t xml:space="preserve">Landing webinar 15.05 </w:t>
      </w:r>
      <w:r w:rsidDel="00000000" w:rsidR="00000000" w:rsidRPr="00000000">
        <w:rPr>
          <w:highlight w:val="cyan"/>
          <w:rtl w:val="0"/>
        </w:rPr>
        <w:t xml:space="preserve">Come l'IA generativa trasforma l'apprendimento professionale</w:t>
      </w:r>
      <w:hyperlink r:id="rId7">
        <w:r w:rsidDel="00000000" w:rsidR="00000000" w:rsidRPr="00000000">
          <w:rPr>
            <w:rtl w:val="0"/>
          </w:rPr>
          <w:t xml:space="preserve"> </w:t>
        </w:r>
      </w:hyperlink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https://landing.betaformazione.com/webinar-come-l-ia-generativa-trasforma-l-apprendimento-professionale-crediti?utm_source=dem&amp;utm_medium=email&amp;campaign_type=dem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1155cc"/>
          <w:u w:val="singl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https://a7f5g7.emailsp.com/f/rnl.aspx/?fjh=rv1nw//c.dk=s/dj7=usu2&amp;-7&amp;x=pv&amp;a=9&amp;x=pv&amp;97h56g1d7-7e3&amp;x=pv&amp;&amp;x=pv&amp;&amp;x=pp&amp;u1--7&amp;x=pv&amp;a69.d1-0j=ov_xNCLM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rFonts w:ascii="Aptos" w:cs="Aptos" w:eastAsia="Aptos" w:hAnsi="Aptos"/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e" w:default="1">
    <w:name w:val="Normal"/>
    <w:qFormat w:val="1"/>
    <w:rsid w:val="004517D1"/>
    <w:pPr>
      <w:spacing w:after="0" w:line="240" w:lineRule="auto"/>
    </w:pPr>
    <w:rPr>
      <w:rFonts w:ascii="Aptos" w:cs="Aptos" w:hAnsi="Aptos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4517D1"/>
    <w:pPr>
      <w:keepNext w:val="1"/>
      <w:keepLines w:val="1"/>
      <w:spacing w:after="80" w:before="360" w:line="278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 w:val="1"/>
    <w:unhideWhenUsed w:val="1"/>
    <w:qFormat w:val="1"/>
    <w:rsid w:val="004517D1"/>
    <w:pPr>
      <w:keepNext w:val="1"/>
      <w:keepLines w:val="1"/>
      <w:spacing w:after="80" w:before="160" w:line="278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 w:val="1"/>
    <w:unhideWhenUsed w:val="1"/>
    <w:qFormat w:val="1"/>
    <w:rsid w:val="004517D1"/>
    <w:pPr>
      <w:keepNext w:val="1"/>
      <w:keepLines w:val="1"/>
      <w:spacing w:after="80" w:before="160" w:line="278" w:lineRule="auto"/>
      <w:outlineLvl w:val="2"/>
    </w:pPr>
    <w:rPr>
      <w:rFonts w:asciiTheme="minorHAnsi" w:cstheme="majorBidi" w:eastAsiaTheme="majorEastAsia" w:hAnsiTheme="minorHAnsi"/>
      <w:color w:val="0f4761" w:themeColor="accent1" w:themeShade="0000BF"/>
      <w:kern w:val="2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 w:val="1"/>
    <w:unhideWhenUsed w:val="1"/>
    <w:qFormat w:val="1"/>
    <w:rsid w:val="004517D1"/>
    <w:pPr>
      <w:keepNext w:val="1"/>
      <w:keepLines w:val="1"/>
      <w:spacing w:after="40" w:before="80" w:line="278" w:lineRule="auto"/>
      <w:outlineLvl w:val="3"/>
    </w:pPr>
    <w:rPr>
      <w:rFonts w:asciiTheme="minorHAnsi" w:cstheme="majorBidi" w:eastAsiaTheme="majorEastAsia" w:hAnsiTheme="minorHAnsi"/>
      <w:i w:val="1"/>
      <w:iCs w:val="1"/>
      <w:color w:val="0f4761" w:themeColor="accent1" w:themeShade="0000BF"/>
      <w:kern w:val="2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4517D1"/>
    <w:pPr>
      <w:keepNext w:val="1"/>
      <w:keepLines w:val="1"/>
      <w:spacing w:after="40" w:before="80" w:line="278" w:lineRule="auto"/>
      <w:outlineLvl w:val="4"/>
    </w:pPr>
    <w:rPr>
      <w:rFonts w:asciiTheme="minorHAnsi" w:cstheme="majorBidi" w:eastAsiaTheme="majorEastAsia" w:hAnsiTheme="minorHAnsi"/>
      <w:color w:val="0f4761" w:themeColor="accent1" w:themeShade="0000BF"/>
      <w:kern w:val="2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4517D1"/>
    <w:pPr>
      <w:keepNext w:val="1"/>
      <w:keepLines w:val="1"/>
      <w:spacing w:before="40" w:line="278" w:lineRule="auto"/>
      <w:outlineLvl w:val="5"/>
    </w:pPr>
    <w:rPr>
      <w:rFonts w:asciiTheme="minorHAnsi" w:cstheme="majorBidi" w:eastAsiaTheme="majorEastAsia" w:hAnsiTheme="minorHAnsi"/>
      <w:i w:val="1"/>
      <w:iCs w:val="1"/>
      <w:color w:val="595959" w:themeColor="text1" w:themeTint="0000A6"/>
      <w:kern w:val="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4517D1"/>
    <w:pPr>
      <w:keepNext w:val="1"/>
      <w:keepLines w:val="1"/>
      <w:spacing w:before="40" w:line="278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4517D1"/>
    <w:pPr>
      <w:keepNext w:val="1"/>
      <w:keepLines w:val="1"/>
      <w:spacing w:line="278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4517D1"/>
    <w:pPr>
      <w:keepNext w:val="1"/>
      <w:keepLines w:val="1"/>
      <w:spacing w:line="278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4517D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4517D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4517D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4517D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4517D1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4517D1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4517D1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4517D1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4517D1"/>
    <w:rPr>
      <w:rFonts w:cstheme="majorBidi" w:eastAsiaTheme="majorEastAsia"/>
      <w:color w:val="272727" w:themeColor="text1" w:themeTint="0000D8"/>
    </w:rPr>
  </w:style>
  <w:style w:type="paragraph" w:styleId="Titolo">
    <w:name w:val="Title"/>
    <w:basedOn w:val="Normale"/>
    <w:next w:val="Normale"/>
    <w:link w:val="TitoloCarattere"/>
    <w:uiPriority w:val="10"/>
    <w:qFormat w:val="1"/>
    <w:rsid w:val="004517D1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4517D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 w:val="1"/>
    <w:rsid w:val="004517D1"/>
    <w:pPr>
      <w:numPr>
        <w:ilvl w:val="1"/>
      </w:numPr>
      <w:spacing w:after="160" w:line="278" w:lineRule="auto"/>
    </w:pPr>
    <w:rPr>
      <w:rFonts w:asciiTheme="minorHAnsi" w:cstheme="majorBidi" w:eastAsiaTheme="majorEastAsia" w:hAnsiTheme="minorHAnsi"/>
      <w:color w:val="595959" w:themeColor="text1" w:themeTint="0000A6"/>
      <w:spacing w:val="15"/>
      <w:kern w:val="2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4517D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4517D1"/>
    <w:pPr>
      <w:spacing w:after="160" w:before="160" w:line="278" w:lineRule="auto"/>
      <w:jc w:val="center"/>
    </w:pPr>
    <w:rPr>
      <w:rFonts w:asciiTheme="minorHAnsi" w:cstheme="minorBidi" w:hAnsiTheme="minorHAnsi"/>
      <w:i w:val="1"/>
      <w:iCs w:val="1"/>
      <w:color w:val="404040" w:themeColor="text1" w:themeTint="0000BF"/>
      <w:kern w:val="2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4517D1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4517D1"/>
    <w:pPr>
      <w:spacing w:after="160" w:line="278" w:lineRule="auto"/>
      <w:ind w:left="720"/>
      <w:contextualSpacing w:val="1"/>
    </w:pPr>
    <w:rPr>
      <w:rFonts w:asciiTheme="minorHAnsi" w:cstheme="minorBidi" w:hAnsiTheme="minorHAnsi"/>
      <w:kern w:val="2"/>
    </w:rPr>
  </w:style>
  <w:style w:type="character" w:styleId="Enfasiintensa">
    <w:name w:val="Intense Emphasis"/>
    <w:basedOn w:val="Carpredefinitoparagrafo"/>
    <w:uiPriority w:val="21"/>
    <w:qFormat w:val="1"/>
    <w:rsid w:val="004517D1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4517D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rFonts w:asciiTheme="minorHAnsi" w:cstheme="minorBidi" w:hAnsiTheme="minorHAnsi"/>
      <w:i w:val="1"/>
      <w:iCs w:val="1"/>
      <w:color w:val="0f4761" w:themeColor="accent1" w:themeShade="0000BF"/>
      <w:kern w:val="2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4517D1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4517D1"/>
    <w:rPr>
      <w:b w:val="1"/>
      <w:bCs w:val="1"/>
      <w:smallCaps w:val="1"/>
      <w:color w:val="0f4761" w:themeColor="accent1" w:themeShade="0000BF"/>
      <w:spacing w:val="5"/>
    </w:r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4517D1"/>
    <w:rPr>
      <w:color w:val="467886"/>
      <w:u w:val="single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7f5g7.emailsp.com/f/rnl.aspx/?fjh=rv1nw//c.dk=s/dj7=usu2&amp;-7&amp;x=pv&amp;a=9&amp;x=pv&amp;97h56g1d7-7e3&amp;x=pv&amp;&amp;x=pv&amp;&amp;x=pp&amp;u1--7&amp;x=pv&amp;a69.d1-0j=ov_xNCL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landing.betaformazione.com/webinar-come-l-ia-generativa-trasforma-l-apprendimento-professionale-crediti?utm_source=dem&amp;utm_medium=email&amp;campaign_type=dem" TargetMode="External"/><Relationship Id="rId8" Type="http://schemas.openxmlformats.org/officeDocument/2006/relationships/hyperlink" Target="https://landing.betaformazione.com/webinar-come-l-ia-generativa-trasforma-l-apprendimento-professionale-crediti?utm_source=dem&amp;utm_medium=email&amp;campaign_type=de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MhYqbGq4GywzWYGDt/jS4H1b5w==">CgMxLjA4AHIhMW10dFJsVXlQX1BHYWRJUzRiMk93Uktkd0VqV1JQNjlq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2025-03-27T07:31:00Z</dcterms:created>
  <dc:creator>Collegio Geometri PC</dc:creator>
</cp:coreProperties>
</file>